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宋体" w:hAnsi="宋体"/>
          <w:b/>
          <w:color w:val="auto"/>
          <w:kern w:val="0"/>
          <w:sz w:val="44"/>
          <w:szCs w:val="44"/>
        </w:rPr>
      </w:pPr>
      <w:bookmarkStart w:id="1" w:name="_GoBack"/>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方正小标宋_GBK" w:hAnsi="宋体" w:eastAsia="方正小标宋_GBK"/>
          <w:color w:val="auto"/>
          <w:kern w:val="0"/>
          <w:sz w:val="44"/>
          <w:szCs w:val="44"/>
        </w:rPr>
      </w:pPr>
      <w:r>
        <w:rPr>
          <w:rFonts w:hint="eastAsia" w:ascii="方正小标宋_GBK" w:hAnsi="宋体" w:eastAsia="方正小标宋_GBK"/>
          <w:color w:val="auto"/>
          <w:kern w:val="0"/>
          <w:sz w:val="44"/>
          <w:szCs w:val="44"/>
        </w:rPr>
        <w:t>托克逊县维吾尔医医院2024年单位预算公开</w:t>
      </w: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line="500" w:lineRule="exact"/>
        <w:jc w:val="center"/>
        <w:outlineLvl w:val="1"/>
        <w:rPr>
          <w:rFonts w:ascii="黑体" w:hAnsi="黑体" w:eastAsia="黑体" w:cs="黑体"/>
          <w:color w:val="auto"/>
          <w:kern w:val="0"/>
          <w:sz w:val="32"/>
          <w:szCs w:val="32"/>
        </w:rPr>
      </w:pPr>
      <w:r>
        <w:rPr>
          <w:rFonts w:hint="eastAsia" w:ascii="黑体" w:hAnsi="黑体" w:eastAsia="黑体" w:cs="黑体"/>
          <w:color w:val="auto"/>
          <w:kern w:val="0"/>
          <w:sz w:val="32"/>
          <w:szCs w:val="32"/>
        </w:rPr>
        <w:t>目录</w:t>
      </w:r>
    </w:p>
    <w:p>
      <w:pPr>
        <w:widowControl/>
        <w:spacing w:line="600" w:lineRule="exact"/>
        <w:ind w:firstLine="883" w:firstLineChars="200"/>
        <w:outlineLvl w:val="1"/>
        <w:rPr>
          <w:rFonts w:ascii="宋体" w:hAnsi="宋体"/>
          <w:b/>
          <w:color w:val="auto"/>
          <w:kern w:val="0"/>
          <w:sz w:val="44"/>
          <w:szCs w:val="44"/>
        </w:rPr>
      </w:pP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第一部分2024年单位概况</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一、主要职能</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二、机构设置及人员情况</w:t>
      </w: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第二部分2024年单位预算公开表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一、单位收支总体情况表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二、单位收入总体情况表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三、单位支出总体情况表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四、财政拨款收支预算总体情况表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五、一般公共预算支出情况表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六、一般公共预算基本支出情况表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w:t>
      </w:r>
      <w:r>
        <w:rPr>
          <w:rFonts w:hint="eastAsia" w:ascii="仿宋_GB2312" w:hAnsi="宋体" w:eastAsia="仿宋_GB2312"/>
          <w:bCs/>
          <w:color w:val="auto"/>
          <w:kern w:val="0"/>
          <w:sz w:val="32"/>
          <w:szCs w:val="32"/>
        </w:rPr>
        <w:t>一般公共预算项目支出情况表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八、政府性基金预算支出情况表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九、国有资本经营预算支出情况表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十、财政拨款“三公”经费支出情况表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十一、上年结转结余情况明细表</w:t>
      </w: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第三部分2024年单位预算情况说明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一、关于托克逊县维吾尔医医院单位2024年收支预算情况的总体说明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二、关于托克逊县维吾尔医医院单位2024年收入预算情况说明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三、关于托克逊县维吾尔医医院单位2024年支出预算情况说明</w:t>
      </w:r>
    </w:p>
    <w:p>
      <w:pPr>
        <w:widowControl/>
        <w:spacing w:line="600" w:lineRule="exact"/>
        <w:ind w:firstLine="640" w:firstLineChars="200"/>
        <w:outlineLvl w:val="1"/>
        <w:rPr>
          <w:rFonts w:ascii="仿宋_GB2312" w:hAnsi="宋体" w:eastAsia="仿宋_GB2312"/>
          <w:bCs/>
          <w:color w:val="auto"/>
          <w:kern w:val="0"/>
          <w:sz w:val="32"/>
          <w:szCs w:val="32"/>
        </w:rPr>
      </w:pPr>
      <w:r>
        <w:rPr>
          <w:rFonts w:hint="eastAsia" w:ascii="仿宋_GB2312" w:hAnsi="宋体" w:eastAsia="仿宋_GB2312"/>
          <w:bCs/>
          <w:color w:val="auto"/>
          <w:kern w:val="0"/>
          <w:sz w:val="32"/>
          <w:szCs w:val="32"/>
        </w:rPr>
        <w:t>四、关于托克逊县维吾尔医医院单位2024年财政拨款收支预算情况的总体说明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五、关于托克逊县维吾尔医医院单位2024年一般公共预算当年拨款情况说明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六、关于托克逊县维吾尔医医院单位2024年一般公共预算基本支出情况说明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七、关于托克逊县维吾尔医医院单位2024年一般公共预算项目支出情况说明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八、关于托克逊县维吾尔医医院单位2024年政府性基金预算拨款情况说明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九、关于托克逊县维吾尔医医院单位2024年国有资本经营预算拨款情况说明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十、关于托克逊县维吾尔医医院单位2024年财政拨款“三公”经费预算情况说明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十一、关于托克逊县维吾尔医医院单位2024年上年结转结余预算情况说明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十二、其他重要事项的情况说明</w:t>
      </w: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第四部分名词解释</w:t>
      </w:r>
    </w:p>
    <w:p>
      <w:pPr>
        <w:widowControl/>
        <w:jc w:val="center"/>
        <w:outlineLvl w:val="1"/>
        <w:rPr>
          <w:rFonts w:ascii="黑体" w:hAnsi="黑体" w:eastAsia="黑体"/>
          <w:color w:val="auto"/>
          <w:kern w:val="0"/>
          <w:sz w:val="32"/>
          <w:szCs w:val="32"/>
        </w:rPr>
      </w:pPr>
      <w:r>
        <w:rPr>
          <w:rFonts w:ascii="微软雅黑" w:hAnsi="Calibri" w:eastAsia="微软雅黑"/>
          <w:b/>
          <w:bCs/>
          <w:color w:val="auto"/>
          <w:kern w:val="44"/>
          <w:sz w:val="28"/>
          <w:szCs w:val="28"/>
        </w:rPr>
        <w:br w:type="page"/>
      </w:r>
      <w:r>
        <w:rPr>
          <w:rFonts w:hint="eastAsia" w:ascii="黑体" w:hAnsi="黑体" w:eastAsia="黑体"/>
          <w:color w:val="auto"/>
          <w:kern w:val="0"/>
          <w:sz w:val="32"/>
          <w:szCs w:val="32"/>
        </w:rPr>
        <w:t>第一部分2024年单位概况</w:t>
      </w:r>
    </w:p>
    <w:p>
      <w:pPr>
        <w:widowControl/>
        <w:jc w:val="center"/>
        <w:outlineLvl w:val="1"/>
        <w:rPr>
          <w:rFonts w:ascii="宋体" w:hAnsi="宋体"/>
          <w:b/>
          <w:color w:val="auto"/>
          <w:kern w:val="0"/>
          <w:sz w:val="32"/>
          <w:szCs w:val="32"/>
        </w:rPr>
      </w:pPr>
    </w:p>
    <w:p>
      <w:pPr>
        <w:widowControl/>
        <w:spacing w:line="560" w:lineRule="exact"/>
        <w:jc w:val="left"/>
        <w:rPr>
          <w:rFonts w:ascii="黑体" w:hAnsi="黑体" w:eastAsia="黑体" w:cs="宋体"/>
          <w:bCs/>
          <w:color w:val="auto"/>
          <w:kern w:val="0"/>
          <w:sz w:val="32"/>
          <w:szCs w:val="32"/>
        </w:rPr>
      </w:pPr>
      <w:r>
        <w:rPr>
          <w:rFonts w:hint="eastAsia" w:ascii="楷体_GB2312" w:hAnsi="楷体_GB2312" w:eastAsia="楷体_GB2312" w:cs="楷体_GB2312"/>
          <w:color w:val="auto"/>
          <w:kern w:val="0"/>
          <w:sz w:val="32"/>
          <w:szCs w:val="32"/>
        </w:rPr>
        <w:t>　</w:t>
      </w:r>
      <w:r>
        <w:rPr>
          <w:rFonts w:hint="eastAsia" w:ascii="楷体_GB2312" w:hAnsi="楷体_GB2312" w:eastAsia="楷体_GB2312" w:cs="楷体_GB2312"/>
          <w:b/>
          <w:bCs/>
          <w:color w:val="auto"/>
          <w:kern w:val="0"/>
          <w:sz w:val="32"/>
          <w:szCs w:val="32"/>
        </w:rPr>
        <w:t>一、主要职能</w:t>
      </w:r>
    </w:p>
    <w:p>
      <w:pPr>
        <w:widowControl/>
        <w:spacing w:line="540" w:lineRule="exact"/>
        <w:ind w:firstLine="640" w:firstLineChars="200"/>
        <w:jc w:val="left"/>
        <w:rPr>
          <w:rFonts w:ascii="仿宋_GB2312" w:hAnsi="宋体" w:eastAsia="仿宋_GB2312" w:cs="宋体"/>
          <w:bCs/>
          <w:color w:val="auto"/>
          <w:kern w:val="0"/>
          <w:sz w:val="32"/>
          <w:szCs w:val="32"/>
        </w:rPr>
      </w:pPr>
      <w:r>
        <w:rPr>
          <w:rFonts w:hint="eastAsia" w:ascii="仿宋_GB2312" w:hAnsi="黑体" w:eastAsia="仿宋_GB2312" w:cs="宋体"/>
          <w:bCs/>
          <w:color w:val="auto"/>
          <w:kern w:val="0"/>
          <w:sz w:val="32"/>
          <w:szCs w:val="32"/>
        </w:rPr>
        <w:t>托克逊县维吾尔医医院是非赢利性质的二级甲等综合性医院，托克逊县维吾尔医医院始建于1983年，经过30多年的发展建设，现已成为托克逊县医疗水平、服务质量、特色疗法较好的维吾尔医医院。医院建筑面积10924.98平米，编制床位95张，实际开放床位195张。我院承担门诊、急救、医疗、预防保健等工作。</w:t>
      </w:r>
    </w:p>
    <w:p>
      <w:pPr>
        <w:widowControl/>
        <w:spacing w:line="560" w:lineRule="exact"/>
        <w:jc w:val="left"/>
        <w:rPr>
          <w:rFonts w:ascii="黑体" w:hAnsi="黑体" w:eastAsia="黑体" w:cs="宋体"/>
          <w:bCs/>
          <w:color w:val="auto"/>
          <w:kern w:val="0"/>
          <w:sz w:val="32"/>
          <w:szCs w:val="32"/>
        </w:rPr>
      </w:pPr>
      <w:r>
        <w:rPr>
          <w:rFonts w:hint="eastAsia" w:ascii="楷体_GB2312" w:hAnsi="楷体_GB2312" w:eastAsia="楷体_GB2312" w:cs="楷体_GB2312"/>
          <w:b/>
          <w:color w:val="auto"/>
          <w:kern w:val="0"/>
          <w:sz w:val="32"/>
          <w:szCs w:val="32"/>
        </w:rPr>
        <w:t>　</w:t>
      </w:r>
      <w:r>
        <w:rPr>
          <w:rFonts w:hint="eastAsia" w:ascii="楷体_GB2312" w:hAnsi="楷体_GB2312" w:eastAsia="楷体_GB2312" w:cs="楷体_GB2312"/>
          <w:b/>
          <w:bCs/>
          <w:color w:val="auto"/>
          <w:kern w:val="0"/>
          <w:sz w:val="32"/>
          <w:szCs w:val="32"/>
        </w:rPr>
        <w:t>二、机构设置及人员情况</w:t>
      </w:r>
    </w:p>
    <w:p>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托克逊县维吾尔医医院单位无下属预算单位，下设24个处室，分别是：内一科、内二科、外科、妇科、产科、康复科、皮肤科、体检科、门诊部、口腔科、功能科、检验科、放射科、病案室、药剂科、党政办、医务部、护理部、财务科、信息设备科、总务科、供应室、院感科、消防科</w:t>
      </w:r>
      <w:r>
        <w:rPr>
          <w:rFonts w:hint="eastAsia" w:ascii="仿宋_GB2312" w:hAnsi="宋体" w:eastAsia="仿宋_GB2312" w:cs="宋体"/>
          <w:color w:val="auto"/>
          <w:kern w:val="0"/>
          <w:sz w:val="32"/>
          <w:szCs w:val="32"/>
        </w:rPr>
        <w:t>。</w:t>
      </w:r>
    </w:p>
    <w:p>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托克逊县维吾尔医医院单位编制数91，实有人数89人，其中：在职61人，减少3人；退休28人，增加3人；离休0人，增加2人。</w:t>
      </w:r>
    </w:p>
    <w:p>
      <w:pPr>
        <w:widowControl/>
        <w:spacing w:before="156" w:beforeLines="50"/>
        <w:jc w:val="center"/>
        <w:outlineLvl w:val="1"/>
        <w:rPr>
          <w:rFonts w:ascii="黑体" w:hAnsi="黑体" w:eastAsia="黑体"/>
          <w:color w:val="auto"/>
          <w:kern w:val="0"/>
          <w:sz w:val="32"/>
          <w:szCs w:val="32"/>
        </w:rPr>
      </w:pPr>
      <w:r>
        <w:rPr>
          <w:rFonts w:hint="eastAsia" w:ascii="黑体" w:hAnsi="黑体" w:eastAsia="黑体"/>
          <w:b/>
          <w:bCs/>
          <w:color w:val="auto"/>
          <w:kern w:val="44"/>
          <w:sz w:val="28"/>
          <w:szCs w:val="28"/>
        </w:rPr>
        <w:br w:type="page"/>
      </w:r>
      <w:r>
        <w:rPr>
          <w:rFonts w:hint="eastAsia" w:ascii="黑体" w:hAnsi="黑体" w:eastAsia="黑体"/>
          <w:color w:val="auto"/>
          <w:kern w:val="0"/>
          <w:sz w:val="32"/>
          <w:szCs w:val="32"/>
        </w:rPr>
        <w:t>第二部分2024年单位预算公开表</w:t>
      </w:r>
    </w:p>
    <w:p>
      <w:pPr>
        <w:widowControl/>
        <w:spacing w:before="156" w:beforeLines="50"/>
        <w:outlineLvl w:val="1"/>
        <w:rPr>
          <w:rFonts w:ascii="宋体" w:hAnsi="宋体" w:cs="宋体"/>
          <w:color w:val="auto"/>
          <w:kern w:val="0"/>
          <w:sz w:val="20"/>
          <w:szCs w:val="20"/>
        </w:rPr>
      </w:pPr>
      <w:r>
        <w:rPr>
          <w:rFonts w:hint="eastAsia" w:ascii="宋体" w:hAnsi="宋体" w:cs="宋体"/>
          <w:color w:val="auto"/>
          <w:kern w:val="0"/>
          <w:sz w:val="20"/>
          <w:szCs w:val="20"/>
        </w:rPr>
        <w:t>表1</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编制单位：托克逊县维吾尔医医院</w:t>
            </w:r>
          </w:p>
        </w:tc>
        <w:tc>
          <w:tcPr>
            <w:tcW w:w="130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388"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3867.31</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1067.31</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827.01</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240.30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145.38</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3656.30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2800.00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2800.00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65.63</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3867.31</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3867.31</w:t>
            </w:r>
          </w:p>
        </w:tc>
      </w:tr>
    </w:tbl>
    <w:p>
      <w:pPr>
        <w:widowControl/>
        <w:jc w:val="left"/>
        <w:outlineLvl w:val="1"/>
        <w:rPr>
          <w:rFonts w:ascii="微软雅黑" w:hAnsi="微软雅黑" w:eastAsia="微软雅黑"/>
          <w:b/>
          <w:color w:val="auto"/>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pPr>
        <w:widowControl/>
        <w:jc w:val="left"/>
        <w:outlineLvl w:val="1"/>
        <w:rPr>
          <w:rFonts w:ascii="宋体" w:hAnsi="宋体" w:cs="宋体"/>
          <w:color w:val="auto"/>
          <w:kern w:val="0"/>
          <w:sz w:val="20"/>
          <w:szCs w:val="20"/>
        </w:rPr>
      </w:pPr>
      <w:r>
        <w:rPr>
          <w:rFonts w:hint="eastAsia" w:ascii="宋体" w:hAnsi="宋体" w:cs="宋体"/>
          <w:color w:val="auto"/>
          <w:kern w:val="0"/>
          <w:sz w:val="20"/>
          <w:szCs w:val="20"/>
        </w:rPr>
        <w:t>表2</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pPr>
              <w:widowControl/>
              <w:jc w:val="lef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编制单位：托克逊县维吾尔医医院</w:t>
            </w:r>
          </w:p>
        </w:tc>
        <w:tc>
          <w:tcPr>
            <w:tcW w:w="3889" w:type="dxa"/>
            <w:tcBorders>
              <w:top w:val="nil"/>
              <w:left w:val="nil"/>
              <w:bottom w:val="nil"/>
              <w:right w:val="nil"/>
            </w:tcBorders>
          </w:tcPr>
          <w:p>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hAnsi="宋体" w:eastAsia="仿宋_GB2312" w:cs="宋体"/>
                <w:b/>
                <w:color w:val="auto"/>
                <w:sz w:val="24"/>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rPr>
            </w:pPr>
            <w:r>
              <w:rPr>
                <w:rFonts w:hint="eastAsia" w:ascii="仿宋_GB2312" w:eastAsia="仿宋_GB2312"/>
                <w:b/>
                <w:color w:val="auto"/>
                <w:sz w:val="20"/>
                <w:szCs w:val="20"/>
              </w:rPr>
              <w:t>类</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rPr>
            </w:pPr>
            <w:r>
              <w:rPr>
                <w:rFonts w:hint="eastAsia" w:ascii="仿宋_GB2312" w:eastAsia="仿宋_GB2312"/>
                <w:b/>
                <w:color w:val="auto"/>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rPr>
            </w:pPr>
            <w:r>
              <w:rPr>
                <w:rFonts w:hint="eastAsia" w:ascii="仿宋_GB2312" w:eastAsia="仿宋_GB2312"/>
                <w:b/>
                <w:color w:val="auto"/>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84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82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145.38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145.38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145.38</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145.38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145.38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145.38</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21.28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21.28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21.28</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82.73</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82.73</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82.73</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06</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机关事业单位职业年金缴费支出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41.37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41.37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41.37</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3656.30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856.30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616.00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240.30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2800.00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公立医院</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3395.94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595.94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555.94</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40.00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2800.00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中医（民族）医院</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3355.94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555.94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555.94</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2800.00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其他公立医院支出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40.00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40.00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40.00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公共卫生</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25.30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25.30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25.00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0.30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09</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重大公共卫生服务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0.30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0.30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0.30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其他公共卫生支出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25.00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25.00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25.00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35.06</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35.06</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35.06</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35.06</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35.06</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35.06</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17</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中医药事务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200.00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200.00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200.00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17</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04</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中医（民族医）药专项</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200.00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200.00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200.00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65.63</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65.63</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65.63</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65.63</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65.63</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65.63</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65.63</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65.63</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65.63</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3867.31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1067.31</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827.01</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240.30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2800.00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bl>
    <w:p>
      <w:pPr>
        <w:widowControl/>
        <w:jc w:val="left"/>
        <w:outlineLvl w:val="1"/>
        <w:rPr>
          <w:rFonts w:ascii="仿宋_GB2312" w:hAnsi="宋体" w:eastAsia="仿宋_GB2312"/>
          <w:b/>
          <w:color w:val="auto"/>
          <w:kern w:val="0"/>
          <w:sz w:val="32"/>
          <w:szCs w:val="32"/>
        </w:rPr>
        <w:sectPr>
          <w:pgSz w:w="16838" w:h="11906" w:orient="landscape"/>
          <w:pgMar w:top="1800" w:right="1440" w:bottom="1800" w:left="1440" w:header="851" w:footer="992" w:gutter="0"/>
          <w:cols w:space="425" w:num="1"/>
          <w:docGrid w:type="lines" w:linePitch="312" w:charSpace="0"/>
        </w:sectPr>
      </w:pPr>
    </w:p>
    <w:p>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表3</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8"/>
        <w:gridCol w:w="1763"/>
        <w:gridCol w:w="1756"/>
        <w:gridCol w:w="178"/>
        <w:gridCol w:w="1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pPr>
              <w:widowControl/>
              <w:jc w:val="left"/>
              <w:outlineLvl w:val="1"/>
              <w:rPr>
                <w:rFonts w:ascii="仿宋_GB2312" w:hAnsi="宋体" w:eastAsia="仿宋_GB2312"/>
                <w:b/>
                <w:color w:val="auto"/>
                <w:kern w:val="0"/>
                <w:sz w:val="32"/>
                <w:szCs w:val="32"/>
              </w:rPr>
            </w:pPr>
            <w:r>
              <w:rPr>
                <w:rFonts w:hint="eastAsia" w:ascii="仿宋_GB2312" w:eastAsia="仿宋_GB2312"/>
                <w:color w:val="auto"/>
                <w:sz w:val="24"/>
              </w:rPr>
              <w:t>编制单位：托克逊县维吾尔医医院</w:t>
            </w:r>
          </w:p>
        </w:tc>
        <w:tc>
          <w:tcPr>
            <w:tcW w:w="1300" w:type="dxa"/>
            <w:tcBorders>
              <w:top w:val="nil"/>
              <w:left w:val="nil"/>
              <w:bottom w:val="nil"/>
              <w:right w:val="nil"/>
            </w:tcBorders>
          </w:tcPr>
          <w:p>
            <w:pPr>
              <w:widowControl/>
              <w:jc w:val="right"/>
              <w:outlineLvl w:val="1"/>
              <w:rPr>
                <w:rFonts w:ascii="仿宋_GB2312" w:hAnsi="宋体" w:eastAsia="仿宋_GB2312"/>
                <w:b/>
                <w:color w:val="auto"/>
                <w:kern w:val="0"/>
                <w:sz w:val="32"/>
                <w:szCs w:val="32"/>
              </w:rPr>
            </w:pPr>
            <w:r>
              <w:rPr>
                <w:rFonts w:hint="eastAsia" w:ascii="仿宋_GB2312" w:eastAsia="仿宋_GB2312"/>
                <w:color w:val="auto"/>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支出预算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项目支出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145.38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145.38</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145.38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145.38</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21.28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21.28</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82.73</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82.73</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06</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机关事业单位职业年金缴费支出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41.37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41.37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3656.30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591.00</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3065.30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公立医院</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3395.94</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555.94</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2840.00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中医（民族）医院</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3355.94</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555.94</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2800.00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其他公立医院支出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40.00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40.00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公共卫生</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25.30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25.30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重大公共卫生服务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0.30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0.30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其他公共卫生支出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25.00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25.00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35.06</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35.06</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35.06</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35.06</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17</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中医药事务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200.00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200.00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17</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中医（民族医）药专项</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200.00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200.00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65.63</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65.63</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65.63</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65.63</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65.63</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65.63</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3867.31</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802.01</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3065.30</w:t>
            </w:r>
          </w:p>
        </w:tc>
      </w:tr>
    </w:tbl>
    <w:p>
      <w:pPr>
        <w:widowControl/>
        <w:spacing w:before="120" w:beforeLines="50"/>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表4</w:t>
      </w:r>
    </w:p>
    <w:p>
      <w:pPr>
        <w:widowControl/>
        <w:spacing w:before="120" w:beforeLines="50"/>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编制单位：托克逊县维吾尔医医院</w:t>
            </w:r>
          </w:p>
        </w:tc>
        <w:tc>
          <w:tcPr>
            <w:tcW w:w="1808" w:type="dxa"/>
            <w:gridSpan w:val="3"/>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93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国有资本经营预算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1067.31</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1067.31</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145.38</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145.38</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856.30</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856.30</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65.63</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65.63</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1067.31</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1067.31</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1067.31</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bl>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表5</w:t>
      </w:r>
    </w:p>
    <w:p>
      <w:pPr>
        <w:widowControl/>
        <w:jc w:val="center"/>
        <w:rPr>
          <w:rFonts w:ascii="仿宋_GB2312" w:hAnsi="宋体" w:eastAsia="仿宋_GB2312" w:cs="宋体"/>
          <w:b/>
          <w:bCs/>
          <w:color w:val="auto"/>
          <w:kern w:val="0"/>
          <w:sz w:val="32"/>
          <w:szCs w:val="32"/>
        </w:rPr>
      </w:pPr>
      <w:r>
        <w:rPr>
          <w:rFonts w:hint="eastAsia" w:ascii="仿宋_GB2312" w:hAnsi="宋体" w:eastAsia="仿宋_GB2312" w:cs="宋体"/>
          <w:b/>
          <w:bCs/>
          <w:color w:val="auto"/>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编制单位：托克逊县维吾尔医医院</w:t>
            </w:r>
          </w:p>
        </w:tc>
        <w:tc>
          <w:tcPr>
            <w:tcW w:w="1307"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一般公共预算支出</w:t>
            </w:r>
          </w:p>
        </w:tc>
      </w:tr>
      <w:tr>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145.38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145.38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145.38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145.38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82.73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82.73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06</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机关事业单位职业年金缴费支出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41.37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41.37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856.30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591.00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265.30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公立医院</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595.94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555.94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中医（民族）医院</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555.94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555.94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其他公立医院支出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40.00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公共卫生</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25.30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25.30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重大公共卫生服务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0.30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0.30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其他公共卫生支出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25.00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25.00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35.06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35.06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35.06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35.06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17</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中医药事务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200.00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17</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中医（民族医）药专项</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200.00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65.63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65.63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65.63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65.63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65.63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65.63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1067.31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802.01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265.30</w:t>
            </w:r>
          </w:p>
        </w:tc>
      </w:tr>
    </w:tbl>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表6</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cs="宋体"/>
          <w:b/>
          <w:bCs/>
          <w:color w:val="auto"/>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编制单位：托克逊县维吾尔医医院</w:t>
            </w:r>
          </w:p>
        </w:tc>
        <w:tc>
          <w:tcPr>
            <w:tcW w:w="130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一般公共预算基本支出</w:t>
            </w:r>
          </w:p>
        </w:tc>
      </w:tr>
      <w:tr>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公用经费</w:t>
            </w:r>
          </w:p>
        </w:tc>
      </w:tr>
      <w:tr>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778.55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778.55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546.91</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546.91</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3.23</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3.23</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82.73</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82.73</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职业年金缴费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41.37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41.37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35.06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35.06</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3.62</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3.62</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65.63</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65.63</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23.46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23.46</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21.28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21.28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2.18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2.18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802.01</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802.01</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bl>
    <w:p>
      <w:pPr>
        <w:widowControl/>
        <w:jc w:val="left"/>
        <w:outlineLvl w:val="1"/>
        <w:rPr>
          <w:color w:val="auto"/>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表7</w:t>
      </w:r>
    </w:p>
    <w:p>
      <w:pPr>
        <w:jc w:val="center"/>
        <w:rPr>
          <w:rFonts w:ascii="仿宋_GB2312" w:hAnsi="宋体" w:eastAsia="仿宋_GB2312"/>
          <w:b/>
          <w:color w:val="auto"/>
          <w:sz w:val="32"/>
          <w:szCs w:val="32"/>
        </w:rPr>
      </w:pPr>
      <w:r>
        <w:rPr>
          <w:rFonts w:hint="eastAsia" w:ascii="仿宋_GB2312" w:hAnsi="宋体" w:eastAsia="仿宋_GB2312"/>
          <w:b/>
          <w:color w:val="auto"/>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编制单位：托克逊县维吾尔医医院</w:t>
            </w:r>
          </w:p>
        </w:tc>
        <w:tc>
          <w:tcPr>
            <w:tcW w:w="2720" w:type="dxa"/>
            <w:tcBorders>
              <w:top w:val="nil"/>
              <w:left w:val="nil"/>
              <w:bottom w:val="nil"/>
              <w:right w:val="nil"/>
            </w:tcBorders>
          </w:tcPr>
          <w:p>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科目编码</w:t>
            </w:r>
          </w:p>
        </w:tc>
        <w:tc>
          <w:tcPr>
            <w:tcW w:w="2321"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科目名称</w:t>
            </w:r>
          </w:p>
        </w:tc>
        <w:tc>
          <w:tcPr>
            <w:tcW w:w="21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项目名称</w:t>
            </w:r>
          </w:p>
        </w:tc>
        <w:tc>
          <w:tcPr>
            <w:tcW w:w="95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项目支出合计</w:t>
            </w:r>
          </w:p>
        </w:tc>
        <w:tc>
          <w:tcPr>
            <w:tcW w:w="7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工资福利支出</w:t>
            </w:r>
          </w:p>
        </w:tc>
        <w:tc>
          <w:tcPr>
            <w:tcW w:w="8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商品和服务支出</w:t>
            </w:r>
          </w:p>
        </w:tc>
        <w:tc>
          <w:tcPr>
            <w:tcW w:w="6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对个人和家庭的补助</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债务利息及费用支出</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资本性支出（基本建设）</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w:t>
            </w:r>
          </w:p>
        </w:tc>
        <w:tc>
          <w:tcPr>
            <w:tcW w:w="79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对企业补助（基本建设）</w:t>
            </w:r>
          </w:p>
        </w:tc>
        <w:tc>
          <w:tcPr>
            <w:tcW w:w="64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对社会保障基金补助</w:t>
            </w:r>
          </w:p>
        </w:tc>
        <w:tc>
          <w:tcPr>
            <w:tcW w:w="6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类</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款</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w:t>
            </w:r>
          </w:p>
        </w:tc>
        <w:tc>
          <w:tcPr>
            <w:tcW w:w="2321" w:type="dxa"/>
            <w:vMerge w:val="continue"/>
            <w:shd w:val="clear" w:color="auto" w:fill="auto"/>
            <w:vAlign w:val="center"/>
          </w:tcPr>
          <w:p>
            <w:pPr>
              <w:jc w:val="center"/>
              <w:rPr>
                <w:color w:val="auto"/>
                <w:sz w:val="20"/>
                <w:szCs w:val="20"/>
              </w:rPr>
            </w:pPr>
          </w:p>
        </w:tc>
        <w:tc>
          <w:tcPr>
            <w:tcW w:w="2170" w:type="dxa"/>
            <w:vMerge w:val="continue"/>
            <w:shd w:val="clear" w:color="auto" w:fill="auto"/>
            <w:vAlign w:val="center"/>
          </w:tcPr>
          <w:p>
            <w:pPr>
              <w:jc w:val="center"/>
              <w:rPr>
                <w:color w:val="auto"/>
                <w:sz w:val="20"/>
                <w:szCs w:val="20"/>
              </w:rPr>
            </w:pPr>
          </w:p>
        </w:tc>
        <w:tc>
          <w:tcPr>
            <w:tcW w:w="950" w:type="dxa"/>
            <w:vMerge w:val="continue"/>
            <w:shd w:val="clear" w:color="auto" w:fill="auto"/>
            <w:vAlign w:val="center"/>
          </w:tcPr>
          <w:p>
            <w:pPr>
              <w:jc w:val="center"/>
              <w:rPr>
                <w:color w:val="auto"/>
                <w:sz w:val="20"/>
                <w:szCs w:val="20"/>
              </w:rPr>
            </w:pPr>
          </w:p>
        </w:tc>
        <w:tc>
          <w:tcPr>
            <w:tcW w:w="720" w:type="dxa"/>
            <w:vMerge w:val="continue"/>
            <w:shd w:val="clear" w:color="auto" w:fill="auto"/>
            <w:vAlign w:val="center"/>
          </w:tcPr>
          <w:p>
            <w:pPr>
              <w:jc w:val="center"/>
              <w:rPr>
                <w:color w:val="auto"/>
                <w:sz w:val="20"/>
                <w:szCs w:val="20"/>
              </w:rPr>
            </w:pPr>
          </w:p>
        </w:tc>
        <w:tc>
          <w:tcPr>
            <w:tcW w:w="820" w:type="dxa"/>
            <w:vMerge w:val="continue"/>
            <w:shd w:val="clear" w:color="auto" w:fill="auto"/>
            <w:vAlign w:val="center"/>
          </w:tcPr>
          <w:p>
            <w:pPr>
              <w:jc w:val="center"/>
              <w:rPr>
                <w:color w:val="auto"/>
                <w:sz w:val="20"/>
                <w:szCs w:val="20"/>
              </w:rPr>
            </w:pPr>
          </w:p>
        </w:tc>
        <w:tc>
          <w:tcPr>
            <w:tcW w:w="67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0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90" w:type="dxa"/>
            <w:vMerge w:val="continue"/>
            <w:shd w:val="clear" w:color="auto" w:fill="auto"/>
          </w:tcPr>
          <w:p>
            <w:pPr>
              <w:jc w:val="center"/>
              <w:rPr>
                <w:color w:val="auto"/>
                <w:sz w:val="20"/>
                <w:szCs w:val="20"/>
              </w:rPr>
            </w:pPr>
          </w:p>
        </w:tc>
        <w:tc>
          <w:tcPr>
            <w:tcW w:w="640" w:type="dxa"/>
            <w:vMerge w:val="continue"/>
            <w:shd w:val="clear" w:color="auto" w:fill="auto"/>
            <w:vAlign w:val="center"/>
          </w:tcPr>
          <w:p>
            <w:pPr>
              <w:jc w:val="center"/>
              <w:rPr>
                <w:color w:val="auto"/>
                <w:sz w:val="20"/>
                <w:szCs w:val="20"/>
              </w:rPr>
            </w:pPr>
          </w:p>
        </w:tc>
        <w:tc>
          <w:tcPr>
            <w:tcW w:w="700" w:type="dxa"/>
            <w:vMerge w:val="continue"/>
            <w:shd w:val="clear" w:color="auto" w:fill="auto"/>
          </w:tcPr>
          <w:p>
            <w:pPr>
              <w:jc w:val="center"/>
              <w:rPr>
                <w:color w:val="auto"/>
                <w:sz w:val="20"/>
                <w:szCs w:val="20"/>
              </w:rPr>
            </w:pPr>
          </w:p>
        </w:tc>
        <w:tc>
          <w:tcPr>
            <w:tcW w:w="620" w:type="dxa"/>
            <w:vMerge w:val="continue"/>
            <w:shd w:val="clear" w:color="auto" w:fill="auto"/>
          </w:tcPr>
          <w:p>
            <w:pPr>
              <w:jc w:val="center"/>
              <w:rPr>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卫生健康支出</w:t>
            </w: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265.30</w:t>
            </w: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77.63</w:t>
            </w: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187.67</w:t>
            </w: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02</w:t>
            </w: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公立医院</w:t>
            </w: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40.00</w:t>
            </w: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40.00</w:t>
            </w: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02</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其他公立医院支出</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吐市财社[2023]76号2024年中央医疗服务与保障能力提升[公立医院综合改革]补助资金</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40.00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40.00</w:t>
            </w:r>
          </w:p>
        </w:tc>
        <w:tc>
          <w:tcPr>
            <w:tcW w:w="67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04</w:t>
            </w: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公共卫生</w:t>
            </w: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25.30</w:t>
            </w: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25.30</w:t>
            </w: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09</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重大公共卫生服务</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吐市财社[2023]80号，2024年中央重大传染病防控经费（135.34万）</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0.30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0.30</w:t>
            </w:r>
          </w:p>
        </w:tc>
        <w:tc>
          <w:tcPr>
            <w:tcW w:w="67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其他公共卫生支出</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2024年全民健康体检县级补助资金（县级配套）</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25.00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25.00</w:t>
            </w:r>
          </w:p>
        </w:tc>
        <w:tc>
          <w:tcPr>
            <w:tcW w:w="67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17</w:t>
            </w: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中医药事务</w:t>
            </w: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200.00</w:t>
            </w: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12.33</w:t>
            </w: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187.67</w:t>
            </w: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17</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中医（民族医）药专项</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吐市财社[2023]73号2024年中央医疗服务与保障能力提升[中医药事业传承与发展部分]补助资金</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200.00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12.33</w:t>
            </w:r>
          </w:p>
        </w:tc>
        <w:tc>
          <w:tcPr>
            <w:tcW w:w="67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187.67</w:t>
            </w: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p>
        </w:tc>
        <w:tc>
          <w:tcPr>
            <w:tcW w:w="2170" w:type="dxa"/>
            <w:shd w:val="clear" w:color="auto" w:fill="auto"/>
            <w:vAlign w:val="center"/>
          </w:tcPr>
          <w:p>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合计</w:t>
            </w: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265.30</w:t>
            </w: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77.63</w:t>
            </w: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187.67</w:t>
            </w: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bl>
    <w:p>
      <w:pPr>
        <w:widowControl/>
        <w:jc w:val="left"/>
        <w:outlineLvl w:val="1"/>
        <w:rPr>
          <w:color w:val="auto"/>
        </w:rPr>
        <w:sectPr>
          <w:pgSz w:w="16838" w:h="11906" w:orient="landscape"/>
          <w:pgMar w:top="1588" w:right="2098" w:bottom="1418" w:left="1928" w:header="851" w:footer="992" w:gutter="0"/>
          <w:pgNumType w:fmt="numberInDash"/>
          <w:cols w:space="720" w:num="1"/>
          <w:docGrid w:linePitch="312" w:charSpace="0"/>
        </w:sectPr>
      </w:pPr>
    </w:p>
    <w:p>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表8</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编制单位：托克逊县维吾尔医医院</w:t>
            </w:r>
          </w:p>
        </w:tc>
        <w:tc>
          <w:tcPr>
            <w:tcW w:w="131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政府性基金预算支出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备注：托克逊县维吾尔医医院2024年没有使用政府性基金预算拨款安排的支出，政府性基金预算支出情况表为空表。</w:t>
      </w:r>
    </w:p>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表9</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编制单位：托克逊县维吾尔医医院</w:t>
            </w:r>
          </w:p>
        </w:tc>
        <w:tc>
          <w:tcPr>
            <w:tcW w:w="131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国有资本经营预算支出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备注：托克逊县维吾尔医医院2024年没有使用国有资本经营预算拨款安排的支出，国有资本经营预算支出情况表为空表。</w:t>
      </w:r>
    </w:p>
    <w:p>
      <w:pPr>
        <w:widowControl/>
        <w:jc w:val="left"/>
        <w:outlineLvl w:val="1"/>
        <w:rPr>
          <w:rFonts w:ascii="仿宋_GB2312" w:hAnsi="宋体" w:eastAsia="仿宋_GB2312"/>
          <w:b/>
          <w:color w:val="auto"/>
          <w:kern w:val="0"/>
          <w:sz w:val="32"/>
          <w:szCs w:val="32"/>
        </w:rPr>
      </w:pPr>
    </w:p>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表10</w:t>
      </w:r>
    </w:p>
    <w:p>
      <w:pPr>
        <w:widowControl/>
        <w:jc w:val="left"/>
        <w:outlineLvl w:val="1"/>
        <w:rPr>
          <w:rFonts w:ascii="仿宋_GB2312" w:hAnsi="宋体" w:eastAsia="仿宋_GB2312"/>
          <w:b/>
          <w:color w:val="auto"/>
          <w:kern w:val="0"/>
          <w:sz w:val="32"/>
          <w:szCs w:val="32"/>
        </w:rPr>
      </w:pP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财政拨款“三公”经费支出情况表</w:t>
      </w:r>
    </w:p>
    <w:p>
      <w:pPr>
        <w:widowControl/>
        <w:jc w:val="center"/>
        <w:outlineLvl w:val="1"/>
        <w:rPr>
          <w:rFonts w:ascii="仿宋_GB2312" w:hAnsi="宋体" w:eastAsia="仿宋_GB2312"/>
          <w:b/>
          <w:color w:val="auto"/>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编制单位：托克逊县维吾尔医医院</w:t>
            </w:r>
          </w:p>
        </w:tc>
        <w:tc>
          <w:tcPr>
            <w:tcW w:w="1312"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资金来源</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国有资本经营预算</w:t>
            </w: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备注：托克逊县维吾尔医医院2024年未安排三公经费预算，三公经费支出情况表为空表。</w:t>
      </w:r>
    </w:p>
    <w:p>
      <w:pPr>
        <w:widowControl/>
        <w:jc w:val="left"/>
        <w:outlineLvl w:val="1"/>
        <w:rPr>
          <w:rFonts w:ascii="仿宋_GB2312" w:hAnsi="宋体" w:eastAsia="仿宋_GB2312"/>
          <w:b/>
          <w:color w:val="auto"/>
          <w:kern w:val="0"/>
          <w:sz w:val="32"/>
          <w:szCs w:val="32"/>
        </w:rPr>
      </w:pPr>
    </w:p>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表11</w:t>
      </w:r>
    </w:p>
    <w:p>
      <w:pPr>
        <w:widowControl/>
        <w:jc w:val="left"/>
        <w:outlineLvl w:val="1"/>
        <w:rPr>
          <w:rFonts w:ascii="仿宋_GB2312" w:hAnsi="宋体" w:eastAsia="仿宋_GB2312"/>
          <w:b/>
          <w:color w:val="auto"/>
          <w:kern w:val="0"/>
          <w:sz w:val="32"/>
          <w:szCs w:val="32"/>
        </w:rPr>
      </w:pP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上年结转结余情况明细表</w:t>
      </w:r>
    </w:p>
    <w:p>
      <w:pPr>
        <w:widowControl/>
        <w:jc w:val="center"/>
        <w:outlineLvl w:val="1"/>
        <w:rPr>
          <w:rFonts w:ascii="仿宋_GB2312" w:hAnsi="宋体" w:eastAsia="仿宋_GB2312"/>
          <w:b/>
          <w:color w:val="auto"/>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编制单位：托克逊县维吾尔医医院</w:t>
            </w:r>
          </w:p>
        </w:tc>
        <w:tc>
          <w:tcPr>
            <w:tcW w:w="2000" w:type="dxa"/>
            <w:gridSpan w:val="2"/>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w:t>
            </w:r>
          </w:p>
        </w:tc>
        <w:tc>
          <w:tcPr>
            <w:tcW w:w="850"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总计</w:t>
            </w:r>
          </w:p>
        </w:tc>
        <w:tc>
          <w:tcPr>
            <w:tcW w:w="3869" w:type="dxa"/>
            <w:gridSpan w:val="4"/>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财政拨款</w:t>
            </w:r>
          </w:p>
        </w:tc>
        <w:tc>
          <w:tcPr>
            <w:tcW w:w="3612" w:type="dxa"/>
            <w:gridSpan w:val="4"/>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color w:val="auto"/>
                <w:kern w:val="0"/>
                <w:sz w:val="20"/>
                <w:szCs w:val="20"/>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rPr>
            </w:pPr>
          </w:p>
        </w:tc>
        <w:tc>
          <w:tcPr>
            <w:tcW w:w="1054"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91" w:type="dxa"/>
            <w:gridSpan w:val="2"/>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024"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c>
          <w:tcPr>
            <w:tcW w:w="797"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rPr>
            </w:pPr>
          </w:p>
        </w:tc>
        <w:tc>
          <w:tcPr>
            <w:tcW w:w="890"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901"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024" w:type="dxa"/>
            <w:vMerge w:val="continue"/>
            <w:vAlign w:val="center"/>
          </w:tcPr>
          <w:p>
            <w:pPr>
              <w:spacing w:line="600" w:lineRule="exact"/>
              <w:jc w:val="center"/>
              <w:rPr>
                <w:rFonts w:ascii="仿宋" w:hAnsi="仿宋" w:eastAsia="仿宋" w:cs="仿宋_GB2312"/>
                <w:bCs/>
                <w:color w:val="auto"/>
                <w:kern w:val="0"/>
                <w:sz w:val="28"/>
                <w:szCs w:val="28"/>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rPr>
            </w:pPr>
          </w:p>
        </w:tc>
        <w:tc>
          <w:tcPr>
            <w:tcW w:w="813"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791"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211" w:type="dxa"/>
            <w:vMerge w:val="continue"/>
            <w:vAlign w:val="center"/>
          </w:tcPr>
          <w:p>
            <w:pPr>
              <w:widowControl/>
              <w:spacing w:line="280" w:lineRule="exact"/>
              <w:jc w:val="center"/>
              <w:rPr>
                <w:rFonts w:ascii="仿宋_GB2312" w:hAnsi="宋体" w:eastAsia="仿宋_GB2312" w:cs="宋体"/>
                <w:b/>
                <w:bCs/>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rPr>
            </w:pPr>
          </w:p>
        </w:tc>
        <w:tc>
          <w:tcPr>
            <w:tcW w:w="850" w:type="dxa"/>
            <w:vAlign w:val="center"/>
          </w:tcPr>
          <w:p>
            <w:pPr>
              <w:spacing w:line="600" w:lineRule="exact"/>
              <w:jc w:val="center"/>
              <w:rPr>
                <w:rFonts w:ascii="仿宋" w:hAnsi="仿宋" w:eastAsia="仿宋" w:cs="仿宋_GB2312"/>
                <w:bCs/>
                <w:color w:val="auto"/>
                <w:kern w:val="0"/>
                <w:sz w:val="18"/>
                <w:szCs w:val="18"/>
              </w:rPr>
            </w:pPr>
          </w:p>
        </w:tc>
        <w:tc>
          <w:tcPr>
            <w:tcW w:w="1054" w:type="dxa"/>
            <w:vAlign w:val="center"/>
          </w:tcPr>
          <w:p>
            <w:pPr>
              <w:spacing w:line="600" w:lineRule="exact"/>
              <w:jc w:val="center"/>
              <w:rPr>
                <w:rFonts w:ascii="仿宋" w:hAnsi="仿宋" w:eastAsia="仿宋" w:cs="仿宋_GB2312"/>
                <w:bCs/>
                <w:color w:val="auto"/>
                <w:kern w:val="0"/>
                <w:sz w:val="18"/>
                <w:szCs w:val="18"/>
              </w:rPr>
            </w:pPr>
          </w:p>
        </w:tc>
        <w:tc>
          <w:tcPr>
            <w:tcW w:w="890" w:type="dxa"/>
            <w:vAlign w:val="center"/>
          </w:tcPr>
          <w:p>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pPr>
              <w:spacing w:line="600" w:lineRule="exact"/>
              <w:jc w:val="center"/>
              <w:rPr>
                <w:rFonts w:ascii="仿宋" w:hAnsi="仿宋" w:eastAsia="仿宋" w:cs="仿宋_GB2312"/>
                <w:bCs/>
                <w:color w:val="auto"/>
                <w:kern w:val="0"/>
                <w:sz w:val="18"/>
                <w:szCs w:val="18"/>
              </w:rPr>
            </w:pPr>
          </w:p>
        </w:tc>
        <w:tc>
          <w:tcPr>
            <w:tcW w:w="797" w:type="dxa"/>
            <w:vAlign w:val="center"/>
          </w:tcPr>
          <w:p>
            <w:pPr>
              <w:spacing w:line="600" w:lineRule="exact"/>
              <w:jc w:val="center"/>
              <w:rPr>
                <w:rFonts w:ascii="仿宋" w:hAnsi="仿宋" w:eastAsia="仿宋" w:cs="仿宋_GB2312"/>
                <w:bCs/>
                <w:color w:val="auto"/>
                <w:kern w:val="0"/>
                <w:sz w:val="18"/>
                <w:szCs w:val="18"/>
              </w:rPr>
            </w:pPr>
          </w:p>
        </w:tc>
        <w:tc>
          <w:tcPr>
            <w:tcW w:w="813" w:type="dxa"/>
            <w:vAlign w:val="center"/>
          </w:tcPr>
          <w:p>
            <w:pPr>
              <w:spacing w:line="600" w:lineRule="exact"/>
              <w:jc w:val="center"/>
              <w:rPr>
                <w:rFonts w:ascii="仿宋" w:hAnsi="仿宋" w:eastAsia="仿宋" w:cs="仿宋_GB2312"/>
                <w:bCs/>
                <w:color w:val="auto"/>
                <w:kern w:val="0"/>
                <w:sz w:val="18"/>
                <w:szCs w:val="18"/>
              </w:rPr>
            </w:pPr>
          </w:p>
        </w:tc>
        <w:tc>
          <w:tcPr>
            <w:tcW w:w="791" w:type="dxa"/>
            <w:vAlign w:val="center"/>
          </w:tcPr>
          <w:p>
            <w:pPr>
              <w:spacing w:line="600" w:lineRule="exact"/>
              <w:jc w:val="center"/>
              <w:rPr>
                <w:rFonts w:ascii="仿宋" w:hAnsi="仿宋" w:eastAsia="仿宋" w:cs="仿宋_GB2312"/>
                <w:bCs/>
                <w:color w:val="auto"/>
                <w:kern w:val="0"/>
                <w:sz w:val="18"/>
                <w:szCs w:val="18"/>
              </w:rPr>
            </w:pPr>
          </w:p>
        </w:tc>
        <w:tc>
          <w:tcPr>
            <w:tcW w:w="1211" w:type="dxa"/>
            <w:vAlign w:val="center"/>
          </w:tcPr>
          <w:p>
            <w:pPr>
              <w:spacing w:line="600" w:lineRule="exact"/>
              <w:jc w:val="center"/>
              <w:rPr>
                <w:rFonts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rPr>
            </w:pPr>
          </w:p>
        </w:tc>
        <w:tc>
          <w:tcPr>
            <w:tcW w:w="850" w:type="dxa"/>
            <w:vAlign w:val="center"/>
          </w:tcPr>
          <w:p>
            <w:pPr>
              <w:spacing w:line="600" w:lineRule="exact"/>
              <w:jc w:val="center"/>
              <w:rPr>
                <w:rFonts w:ascii="仿宋" w:hAnsi="仿宋" w:eastAsia="仿宋" w:cs="仿宋_GB2312"/>
                <w:bCs/>
                <w:color w:val="auto"/>
                <w:kern w:val="0"/>
                <w:sz w:val="18"/>
                <w:szCs w:val="18"/>
              </w:rPr>
            </w:pPr>
          </w:p>
        </w:tc>
        <w:tc>
          <w:tcPr>
            <w:tcW w:w="1054" w:type="dxa"/>
            <w:vAlign w:val="center"/>
          </w:tcPr>
          <w:p>
            <w:pPr>
              <w:spacing w:line="600" w:lineRule="exact"/>
              <w:jc w:val="center"/>
              <w:rPr>
                <w:rFonts w:ascii="仿宋" w:hAnsi="仿宋" w:eastAsia="仿宋" w:cs="仿宋_GB2312"/>
                <w:bCs/>
                <w:color w:val="auto"/>
                <w:kern w:val="0"/>
                <w:sz w:val="18"/>
                <w:szCs w:val="18"/>
              </w:rPr>
            </w:pPr>
          </w:p>
        </w:tc>
        <w:tc>
          <w:tcPr>
            <w:tcW w:w="890" w:type="dxa"/>
            <w:vAlign w:val="center"/>
          </w:tcPr>
          <w:p>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pPr>
              <w:spacing w:line="600" w:lineRule="exact"/>
              <w:jc w:val="center"/>
              <w:rPr>
                <w:rFonts w:ascii="仿宋" w:hAnsi="仿宋" w:eastAsia="仿宋" w:cs="仿宋_GB2312"/>
                <w:bCs/>
                <w:color w:val="auto"/>
                <w:kern w:val="0"/>
                <w:sz w:val="18"/>
                <w:szCs w:val="18"/>
              </w:rPr>
            </w:pPr>
          </w:p>
        </w:tc>
        <w:tc>
          <w:tcPr>
            <w:tcW w:w="797" w:type="dxa"/>
            <w:vAlign w:val="center"/>
          </w:tcPr>
          <w:p>
            <w:pPr>
              <w:spacing w:line="600" w:lineRule="exact"/>
              <w:jc w:val="center"/>
              <w:rPr>
                <w:rFonts w:ascii="仿宋" w:hAnsi="仿宋" w:eastAsia="仿宋" w:cs="仿宋_GB2312"/>
                <w:bCs/>
                <w:color w:val="auto"/>
                <w:kern w:val="0"/>
                <w:sz w:val="18"/>
                <w:szCs w:val="18"/>
              </w:rPr>
            </w:pPr>
          </w:p>
        </w:tc>
        <w:tc>
          <w:tcPr>
            <w:tcW w:w="813" w:type="dxa"/>
            <w:vAlign w:val="center"/>
          </w:tcPr>
          <w:p>
            <w:pPr>
              <w:spacing w:line="600" w:lineRule="exact"/>
              <w:jc w:val="center"/>
              <w:rPr>
                <w:rFonts w:ascii="仿宋" w:hAnsi="仿宋" w:eastAsia="仿宋" w:cs="仿宋_GB2312"/>
                <w:bCs/>
                <w:color w:val="auto"/>
                <w:kern w:val="0"/>
                <w:sz w:val="18"/>
                <w:szCs w:val="18"/>
              </w:rPr>
            </w:pPr>
          </w:p>
        </w:tc>
        <w:tc>
          <w:tcPr>
            <w:tcW w:w="791" w:type="dxa"/>
            <w:vAlign w:val="center"/>
          </w:tcPr>
          <w:p>
            <w:pPr>
              <w:spacing w:line="600" w:lineRule="exact"/>
              <w:jc w:val="center"/>
              <w:rPr>
                <w:rFonts w:ascii="仿宋" w:hAnsi="仿宋" w:eastAsia="仿宋" w:cs="仿宋_GB2312"/>
                <w:bCs/>
                <w:color w:val="auto"/>
                <w:kern w:val="0"/>
                <w:sz w:val="18"/>
                <w:szCs w:val="18"/>
              </w:rPr>
            </w:pPr>
          </w:p>
        </w:tc>
        <w:tc>
          <w:tcPr>
            <w:tcW w:w="1211" w:type="dxa"/>
            <w:vAlign w:val="center"/>
          </w:tcPr>
          <w:p>
            <w:pPr>
              <w:spacing w:line="600" w:lineRule="exact"/>
              <w:jc w:val="center"/>
              <w:rPr>
                <w:rFonts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rPr>
            </w:pPr>
          </w:p>
        </w:tc>
        <w:tc>
          <w:tcPr>
            <w:tcW w:w="850" w:type="dxa"/>
            <w:vAlign w:val="center"/>
          </w:tcPr>
          <w:p>
            <w:pPr>
              <w:spacing w:line="600" w:lineRule="exact"/>
              <w:jc w:val="center"/>
              <w:rPr>
                <w:rFonts w:ascii="仿宋" w:hAnsi="仿宋" w:eastAsia="仿宋" w:cs="仿宋_GB2312"/>
                <w:bCs/>
                <w:color w:val="auto"/>
                <w:kern w:val="0"/>
                <w:sz w:val="18"/>
                <w:szCs w:val="18"/>
              </w:rPr>
            </w:pPr>
          </w:p>
        </w:tc>
        <w:tc>
          <w:tcPr>
            <w:tcW w:w="1054" w:type="dxa"/>
            <w:vAlign w:val="center"/>
          </w:tcPr>
          <w:p>
            <w:pPr>
              <w:spacing w:line="600" w:lineRule="exact"/>
              <w:jc w:val="center"/>
              <w:rPr>
                <w:rFonts w:ascii="仿宋" w:hAnsi="仿宋" w:eastAsia="仿宋" w:cs="仿宋_GB2312"/>
                <w:bCs/>
                <w:color w:val="auto"/>
                <w:kern w:val="0"/>
                <w:sz w:val="18"/>
                <w:szCs w:val="18"/>
              </w:rPr>
            </w:pPr>
          </w:p>
        </w:tc>
        <w:tc>
          <w:tcPr>
            <w:tcW w:w="890" w:type="dxa"/>
            <w:vAlign w:val="center"/>
          </w:tcPr>
          <w:p>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pPr>
              <w:spacing w:line="600" w:lineRule="exact"/>
              <w:jc w:val="center"/>
              <w:rPr>
                <w:rFonts w:ascii="仿宋" w:hAnsi="仿宋" w:eastAsia="仿宋" w:cs="仿宋_GB2312"/>
                <w:bCs/>
                <w:color w:val="auto"/>
                <w:kern w:val="0"/>
                <w:sz w:val="18"/>
                <w:szCs w:val="18"/>
              </w:rPr>
            </w:pPr>
          </w:p>
        </w:tc>
        <w:tc>
          <w:tcPr>
            <w:tcW w:w="797" w:type="dxa"/>
            <w:vAlign w:val="center"/>
          </w:tcPr>
          <w:p>
            <w:pPr>
              <w:spacing w:line="600" w:lineRule="exact"/>
              <w:jc w:val="center"/>
              <w:rPr>
                <w:rFonts w:ascii="仿宋" w:hAnsi="仿宋" w:eastAsia="仿宋" w:cs="仿宋_GB2312"/>
                <w:bCs/>
                <w:color w:val="auto"/>
                <w:kern w:val="0"/>
                <w:sz w:val="18"/>
                <w:szCs w:val="18"/>
              </w:rPr>
            </w:pPr>
          </w:p>
        </w:tc>
        <w:tc>
          <w:tcPr>
            <w:tcW w:w="813" w:type="dxa"/>
            <w:vAlign w:val="center"/>
          </w:tcPr>
          <w:p>
            <w:pPr>
              <w:spacing w:line="600" w:lineRule="exact"/>
              <w:jc w:val="center"/>
              <w:rPr>
                <w:rFonts w:ascii="仿宋" w:hAnsi="仿宋" w:eastAsia="仿宋" w:cs="仿宋_GB2312"/>
                <w:bCs/>
                <w:color w:val="auto"/>
                <w:kern w:val="0"/>
                <w:sz w:val="18"/>
                <w:szCs w:val="18"/>
              </w:rPr>
            </w:pPr>
          </w:p>
        </w:tc>
        <w:tc>
          <w:tcPr>
            <w:tcW w:w="791" w:type="dxa"/>
            <w:vAlign w:val="center"/>
          </w:tcPr>
          <w:p>
            <w:pPr>
              <w:spacing w:line="600" w:lineRule="exact"/>
              <w:jc w:val="center"/>
              <w:rPr>
                <w:rFonts w:ascii="仿宋" w:hAnsi="仿宋" w:eastAsia="仿宋" w:cs="仿宋_GB2312"/>
                <w:bCs/>
                <w:color w:val="auto"/>
                <w:kern w:val="0"/>
                <w:sz w:val="18"/>
                <w:szCs w:val="18"/>
              </w:rPr>
            </w:pPr>
          </w:p>
        </w:tc>
        <w:tc>
          <w:tcPr>
            <w:tcW w:w="1211" w:type="dxa"/>
            <w:vAlign w:val="center"/>
          </w:tcPr>
          <w:p>
            <w:pPr>
              <w:spacing w:line="600" w:lineRule="exact"/>
              <w:jc w:val="center"/>
              <w:rPr>
                <w:rFonts w:ascii="仿宋" w:hAnsi="仿宋" w:eastAsia="仿宋" w:cs="仿宋_GB2312"/>
                <w:bCs/>
                <w:color w:val="auto"/>
                <w:kern w:val="0"/>
                <w:sz w:val="18"/>
                <w:szCs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备注：托克逊县维吾尔医医院2024年无上年结转结余预算的支出，结转结余预算支出情况表为空表。</w:t>
      </w:r>
    </w:p>
    <w:p>
      <w:pPr>
        <w:widowControl/>
        <w:jc w:val="left"/>
        <w:outlineLvl w:val="1"/>
        <w:rPr>
          <w:rFonts w:ascii="仿宋_GB2312" w:hAnsi="宋体" w:eastAsia="仿宋_GB2312"/>
          <w:color w:val="auto"/>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pPr>
        <w:spacing w:line="560" w:lineRule="exact"/>
        <w:jc w:val="center"/>
        <w:rPr>
          <w:rFonts w:ascii="黑体" w:hAnsi="黑体" w:eastAsia="黑体"/>
          <w:color w:val="auto"/>
          <w:kern w:val="0"/>
          <w:sz w:val="32"/>
          <w:szCs w:val="32"/>
        </w:rPr>
      </w:pPr>
      <w:r>
        <w:rPr>
          <w:rFonts w:hint="eastAsia" w:ascii="黑体" w:hAnsi="黑体" w:eastAsia="黑体"/>
          <w:color w:val="auto"/>
          <w:kern w:val="0"/>
          <w:sz w:val="32"/>
          <w:szCs w:val="32"/>
        </w:rPr>
        <w:t>第三部分2024年单位预算情况说明</w:t>
      </w:r>
    </w:p>
    <w:p>
      <w:pPr>
        <w:spacing w:line="560" w:lineRule="exact"/>
        <w:jc w:val="center"/>
        <w:rPr>
          <w:rFonts w:ascii="楷体_GB2312" w:hAnsi="楷体_GB2312" w:eastAsia="楷体_GB2312"/>
          <w:color w:val="auto"/>
          <w:kern w:val="0"/>
          <w:sz w:val="32"/>
          <w:szCs w:val="32"/>
        </w:rPr>
      </w:pP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bCs/>
          <w:color w:val="auto"/>
          <w:kern w:val="0"/>
          <w:sz w:val="32"/>
          <w:szCs w:val="32"/>
        </w:rPr>
        <w:t>一、</w:t>
      </w:r>
      <w:r>
        <w:rPr>
          <w:rFonts w:hint="eastAsia" w:ascii="楷体_GB2312" w:hAnsi="楷体_GB2312" w:eastAsia="楷体_GB2312" w:cs="楷体_GB2312"/>
          <w:b/>
          <w:color w:val="auto"/>
          <w:kern w:val="0"/>
          <w:sz w:val="32"/>
          <w:szCs w:val="32"/>
        </w:rPr>
        <w:t>关于托克逊县维吾尔医医院单位2024年收支预算情况的总体说明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按照全口径预算的原则，托克逊县维吾尔医医院单位2024年所有收入和支出均纳入单位预算管理。收支总预算3867.31万元。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收入预算包括：一般公共预算、单位资金。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支出预算包括：社会保障和就业支出、卫生健康支出、住房保障支出。</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二、关于托克逊县维吾尔医医院单位2024年收入预算情况说明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托克逊县维吾尔医医院单位收入预算3867.31万元，其中：</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一般公共预算827.01万元，占21.38%，比上年预算减少2.37万元，下降0.29%，主要原因是2024年在职人员变动，退休3人，死亡1人，人员经费减少，导致一般公共预算较上年减少</w:t>
      </w:r>
      <w:r>
        <w:rPr>
          <w:rFonts w:hint="eastAsia" w:ascii="仿宋_GB2312" w:hAnsi="宋体" w:eastAsia="仿宋_GB2312" w:cs="宋体"/>
          <w:color w:val="auto"/>
          <w:kern w:val="0"/>
          <w:sz w:val="32"/>
          <w:szCs w:val="32"/>
          <w:lang w:eastAsia="zh-CN"/>
        </w:rPr>
        <w:t>。</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上级一般公共预算安排的转移支付240.30万元，占6.21%，比上年预算增加240.30万元，增长100.00%，主要原因是新增加了中医药事业传承与发展资金，公立医院改革资金，重大传染病补助资金，导致今年比上年增长100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上级政府性基金安排的转移支付资金未安排。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国有资本经营预算未安排。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上级国有资本经营预算安排的转移支付资金未安排。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单位资金2800.00万元，占72.40%，比上年预算增加465.01万元，增长19.91%，主要原因是本年不受疫情影响，提高医护人员的业务水平，</w:t>
      </w:r>
      <w:r>
        <w:rPr>
          <w:rFonts w:hint="eastAsia" w:ascii="仿宋_GB2312" w:hAnsi="宋体" w:eastAsia="仿宋_GB2312" w:cs="宋体"/>
          <w:color w:val="auto"/>
          <w:kern w:val="0"/>
          <w:sz w:val="32"/>
          <w:szCs w:val="32"/>
          <w:lang w:val="en-US" w:eastAsia="zh-CN"/>
        </w:rPr>
        <w:t>事业收入</w:t>
      </w:r>
      <w:r>
        <w:rPr>
          <w:rFonts w:hint="eastAsia" w:ascii="仿宋_GB2312" w:hAnsi="宋体" w:eastAsia="仿宋_GB2312" w:cs="宋体"/>
          <w:color w:val="auto"/>
          <w:kern w:val="0"/>
          <w:sz w:val="32"/>
          <w:szCs w:val="32"/>
        </w:rPr>
        <w:t>较上年增加；</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三、关于托克逊县维吾尔医医院单位2024年支出预算情况说明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托克逊县维吾尔医医院单位2024年支出预算3867.31万元，其中：</w:t>
      </w:r>
    </w:p>
    <w:p>
      <w:pPr>
        <w:spacing w:line="560" w:lineRule="exact"/>
        <w:ind w:firstLine="640" w:firstLineChars="200"/>
        <w:rPr>
          <w:rFonts w:ascii="仿宋_GB2312" w:hAnsi="宋体" w:eastAsia="仿宋_GB2312" w:cs="宋体"/>
          <w:b/>
          <w:color w:val="auto"/>
          <w:kern w:val="0"/>
          <w:sz w:val="32"/>
          <w:szCs w:val="32"/>
        </w:rPr>
      </w:pPr>
      <w:r>
        <w:rPr>
          <w:rFonts w:hint="eastAsia" w:ascii="仿宋_GB2312" w:hAnsi="宋体" w:eastAsia="仿宋_GB2312" w:cs="宋体"/>
          <w:color w:val="auto"/>
          <w:kern w:val="0"/>
          <w:sz w:val="32"/>
          <w:szCs w:val="32"/>
        </w:rPr>
        <w:t>基本支出802.01万元，占20.74%，比上年预算减少27.37万元，下降3.30%，主要原因是2024年在职人员变动，退休3人，死亡1人，导致基本支出较上年减少。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项目支出3065.30万元，占79.26%，比上年预算增加730.31万元，增长31.28%，主要原因</w:t>
      </w:r>
      <w:r>
        <w:rPr>
          <w:rFonts w:hint="eastAsia" w:ascii="仿宋_GB2312" w:hAnsi="宋体" w:eastAsia="仿宋_GB2312" w:cs="宋体"/>
          <w:color w:val="auto"/>
          <w:kern w:val="0"/>
          <w:sz w:val="32"/>
          <w:szCs w:val="32"/>
          <w:lang w:val="en-US" w:eastAsia="zh-CN"/>
        </w:rPr>
        <w:t>是2024年中央医疗服务与保障能力提升[公立医院综合改革]补助资金，2024年中央重大传染病防控经费、2024年全民健康体检县级补助资金（县级配套）</w:t>
      </w:r>
      <w:r>
        <w:rPr>
          <w:rFonts w:hint="eastAsia" w:ascii="仿宋_GB2312" w:hAnsi="宋体" w:eastAsia="仿宋_GB2312" w:cs="宋体"/>
          <w:color w:val="auto"/>
          <w:kern w:val="0"/>
          <w:sz w:val="32"/>
          <w:szCs w:val="32"/>
        </w:rPr>
        <w:t>预算较上年增加。</w:t>
      </w:r>
    </w:p>
    <w:p>
      <w:pPr>
        <w:spacing w:line="560" w:lineRule="exact"/>
        <w:ind w:firstLine="643" w:firstLineChars="200"/>
        <w:rPr>
          <w:rFonts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四、关于托克逊县维吾尔医医院单位2024年财政拨款收支预算情况的总体说明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2024年财政拨款收支总预算1067.31万元。</w:t>
      </w:r>
    </w:p>
    <w:p>
      <w:pPr>
        <w:spacing w:line="560" w:lineRule="exact"/>
        <w:ind w:firstLine="616" w:firstLineChars="200"/>
        <w:rPr>
          <w:rFonts w:ascii="仿宋_GB2312" w:hAnsi="宋体" w:eastAsia="仿宋_GB2312" w:cs="宋体"/>
          <w:b/>
          <w:color w:val="auto"/>
          <w:spacing w:val="-6"/>
          <w:kern w:val="0"/>
          <w:sz w:val="32"/>
          <w:szCs w:val="32"/>
        </w:rPr>
      </w:pPr>
      <w:r>
        <w:rPr>
          <w:rFonts w:hint="eastAsia" w:ascii="仿宋_GB2312" w:hAnsi="宋体" w:eastAsia="仿宋_GB2312" w:cs="宋体"/>
          <w:color w:val="auto"/>
          <w:spacing w:val="-6"/>
          <w:kern w:val="0"/>
          <w:sz w:val="32"/>
          <w:szCs w:val="32"/>
        </w:rPr>
        <w:t>收入全部为一般公共预算拨款，无政府性基金预算拨款和国有资本经营预算。</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收入预算包括：一般公共预算拨款1067.31万元。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支出包括：社会保障和就业支出145.38万元，主要用于单位人员社保缴费支出;卫生健康支出856.30万元，主要用于保障单位正常运行的人员经费、公用经费支出及单位人员医疗保险缴费支出;住房保障支出65.63万元，主要用于单位人员住房公积金缴费支出。</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五、关于托克逊县维吾尔医医院单位2024年一般公共预算当年拨款情况说明</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（一）一般公共预算当年拨款规模变化情况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托克逊县维吾尔医医院单位2024年一般公共预算拨款合计1067.31万元，其中：</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基本支出802.01万元，比上年预算减少27.37万元，下降3.30%。主要原因是：今年的在职人员变动，退休3人，死亡1人，导致基本支出较上年减少。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项目支出265.30万元，比上年预算增加265.30万元，增长100.00%。主要原因是：</w:t>
      </w:r>
      <w:r>
        <w:rPr>
          <w:rFonts w:hint="eastAsia" w:ascii="仿宋_GB2312" w:eastAsia="仿宋_GB2312"/>
          <w:color w:val="auto"/>
          <w:sz w:val="32"/>
          <w:szCs w:val="32"/>
          <w:lang w:val="en-US" w:eastAsia="zh-CN"/>
        </w:rPr>
        <w:t>新增2024年中央医疗服务与保障能力提升[公立医院综合改革]补助资金，2024年中央重大传染病防控经费、2024年全民健康体检县级补助资金（县级配套）</w:t>
      </w:r>
      <w:r>
        <w:rPr>
          <w:rFonts w:hint="eastAsia" w:ascii="仿宋_GB2312" w:eastAsia="仿宋_GB2312"/>
          <w:color w:val="auto"/>
          <w:sz w:val="32"/>
          <w:szCs w:val="32"/>
        </w:rPr>
        <w:t>，导致今年比上年增长100</w:t>
      </w:r>
      <w:r>
        <w:rPr>
          <w:rFonts w:hint="eastAsia" w:ascii="仿宋_GB2312" w:hAnsi="黑体" w:eastAsia="仿宋_GB2312"/>
          <w:color w:val="auto"/>
          <w:sz w:val="32"/>
          <w:szCs w:val="32"/>
          <w:lang w:val="en-US" w:eastAsia="zh-CN"/>
        </w:rPr>
        <w:t>.00</w:t>
      </w:r>
      <w:r>
        <w:rPr>
          <w:rFonts w:hint="eastAsia" w:ascii="仿宋_GB2312" w:eastAsia="仿宋_GB2312"/>
          <w:color w:val="auto"/>
          <w:sz w:val="32"/>
          <w:szCs w:val="32"/>
        </w:rPr>
        <w:t>%。</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（二）一般公共预算当年拨款结构情况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1.社会保障和就业支出（类）145.38万元，占13.62%。</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2.卫生健康支出（类）856.30万元，占80.23%。</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3.住房保障支出（类）65.63万元，占6.15%。</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（三）一般公共预算当年拨款具体使用情况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社会保障和就业支出（类）行政事业单位养老支出（款）事业单位离退休（项）：2024年预算数为21.28万元，比上年预算增加1.77万元，增长9.07%，主要原因是：在职人员减少转为退休，因此退休费增加，导致今年离退休预算比上年增长。</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社会保障和就业支出（类）行政事业单位养老支出（款）机关事业单位基本养老保险缴费支出（项）：2024年预算数为82.73万元，比上年预算减少3.65万元，下降4.23%，主要原因是：2024年在职人员减少，导致基本养老保险缴费支出预算较上年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社会保障和就业支出（类）行政事业单位养老支出（款）机关事业单位职业年金缴费支出（项）：2024年预算数为41.37万元，比上年预算减少1.82万元，下降4.21%，主要原因是：2024年在职人员减少，导致机关事业单位职业年金缴费支出预算较上年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卫生健康支出（类）公立医院（款）中医（民族）医院（项）：2024年预算数为555.94万元，比上年预算减少19.86万元，下降3.45%，主要原因是：2024年在职人员变动，退休3人，死亡1人，人员经费减少，因此中医（民族）医院支出预算较上年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5.卫生健康支出（类）公立医院（款）其他公立医院支出（项）：2024年预算数为40.00万元，比上年预算增加40.00万元，增长100.00%，主要原因是：</w:t>
      </w:r>
      <w:r>
        <w:rPr>
          <w:rFonts w:hint="eastAsia" w:ascii="仿宋_GB2312" w:hAnsi="宋体" w:eastAsia="仿宋_GB2312" w:cs="宋体"/>
          <w:color w:val="auto"/>
          <w:kern w:val="0"/>
          <w:sz w:val="32"/>
          <w:szCs w:val="32"/>
          <w:lang w:val="en-US" w:eastAsia="zh-CN"/>
        </w:rPr>
        <w:t>新增2024年中央医疗服务与保障能力提升[公立医院综合改革]补助资金</w:t>
      </w:r>
      <w:r>
        <w:rPr>
          <w:rFonts w:hint="eastAsia" w:ascii="仿宋_GB2312" w:hAnsi="宋体" w:eastAsia="仿宋_GB2312" w:cs="宋体"/>
          <w:color w:val="auto"/>
          <w:kern w:val="0"/>
          <w:sz w:val="32"/>
          <w:szCs w:val="32"/>
        </w:rPr>
        <w:t>，导致今年比上年增长100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6.卫生健康支出（类）公共卫生（款）重大公共卫生服务（项）：2024年预算数为0.30万元，比上年预算增加0.30万元，增长100.00%，主要原因是：</w:t>
      </w:r>
      <w:r>
        <w:rPr>
          <w:rFonts w:hint="eastAsia" w:ascii="仿宋_GB2312" w:hAnsi="宋体" w:eastAsia="仿宋_GB2312" w:cs="宋体"/>
          <w:color w:val="auto"/>
          <w:kern w:val="0"/>
          <w:sz w:val="32"/>
          <w:szCs w:val="32"/>
          <w:lang w:val="en-US" w:eastAsia="zh-CN"/>
        </w:rPr>
        <w:t>新增2024年中央重大传染病防控经费</w:t>
      </w:r>
      <w:r>
        <w:rPr>
          <w:rFonts w:hint="eastAsia" w:ascii="仿宋_GB2312" w:hAnsi="宋体" w:eastAsia="仿宋_GB2312" w:cs="宋体"/>
          <w:color w:val="auto"/>
          <w:kern w:val="0"/>
          <w:sz w:val="32"/>
          <w:szCs w:val="32"/>
        </w:rPr>
        <w:t>，导致今年比上年增长100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7.卫生健康支出（类）公共卫生（款）其他公共卫生支出（项）：2024年预算数为25.00万元，比上年预算增加25.00万元，增长100.00%，主要原因是：</w:t>
      </w:r>
      <w:r>
        <w:rPr>
          <w:rFonts w:hint="eastAsia" w:ascii="仿宋_GB2312" w:hAnsi="宋体" w:eastAsia="仿宋_GB2312" w:cs="宋体"/>
          <w:color w:val="auto"/>
          <w:kern w:val="0"/>
          <w:sz w:val="32"/>
          <w:szCs w:val="32"/>
          <w:lang w:val="en-US" w:eastAsia="zh-CN"/>
        </w:rPr>
        <w:t>新增2024年全民健康体检县级补助资金</w:t>
      </w:r>
      <w:r>
        <w:rPr>
          <w:rFonts w:hint="eastAsia" w:ascii="仿宋_GB2312" w:hAnsi="宋体" w:eastAsia="仿宋_GB2312" w:cs="宋体"/>
          <w:color w:val="auto"/>
          <w:kern w:val="0"/>
          <w:sz w:val="32"/>
          <w:szCs w:val="32"/>
        </w:rPr>
        <w:t>，导致今年比上年增长100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8.卫生健康支出（类）行政事业单位医疗（款）事业单位医疗（项）：2024年预算数为35.06万元，比上年预算减少1.60万元，下降4.36%，主要原因是：2024年在职人员减少，导致事业单位医疗支出预算减少。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9.卫生健康支出（类）中医药事务（款）中医（民族医）药专项（项）：2024年预算数为200.00万元，比上年预算增加200.00万元，增长100.00%，主要原因是：</w:t>
      </w:r>
      <w:r>
        <w:rPr>
          <w:rFonts w:hint="eastAsia" w:ascii="仿宋_GB2312" w:hAnsi="宋体" w:eastAsia="仿宋_GB2312" w:cs="宋体"/>
          <w:color w:val="auto"/>
          <w:kern w:val="0"/>
          <w:sz w:val="32"/>
          <w:szCs w:val="32"/>
          <w:lang w:val="en-US" w:eastAsia="zh-CN"/>
        </w:rPr>
        <w:t>新增2024年中央医疗服务与保障能力提升[中医药事业传承与发展部分]补助资金</w:t>
      </w:r>
      <w:r>
        <w:rPr>
          <w:rFonts w:hint="eastAsia" w:ascii="仿宋_GB2312" w:hAnsi="宋体" w:eastAsia="仿宋_GB2312" w:cs="宋体"/>
          <w:color w:val="auto"/>
          <w:kern w:val="0"/>
          <w:sz w:val="32"/>
          <w:szCs w:val="32"/>
        </w:rPr>
        <w:t>，导致今年比上年增长100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10.住房保障支出（类）住房改革支出（款）住房公积金（项）：2024年预算数为65.63万元，比上年预算减少2.21万元，下降3.26%，主要原因是：2024年在职人员减少，退休3人，死亡1人，导致住房公积金支出预算较上年减少。</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六、关于托克逊县维吾尔医医院单位2024年一般公共预算基本支出情况说明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托克逊县维吾尔医医院单位2024年一般公共预算基本支出802.01万元，其中：</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人员经费802.01万元，主要包括：基本工资、津贴补贴、机关事业单位基本养老保险缴费、职业年金缴费、职工基本医疗保险缴费、其他社会保障缴费、住房公积金、退休费、生活补助。</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公用经费0.00万元。</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七、关于托克逊县维吾尔医医院单位2024年一般公共预算项目支出情况说明</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（一）项目名称：吐市财社[2023]76号2024年中央医疗服务与保障能力提升[公立医院综合改革]补助资金</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设立的政策依据：自治区人民政府《关于推进县级公立医院综合改革的实施意见》（新政发【2014】75号）</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预算安排规模：40.00万元</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项目承担单位：托克逊县维吾尔医医院</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资金分配情况：专用材料费40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（二）项目名称：吐市财社[2023]80号，2024年中央重大传染病防控经费（135.34万）</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设立的政策依据：按照《重大传染病防控经费管理办法》吐市财社[2023]80号</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预算安排规模：0.30万元</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项目承担单位：托克逊县维吾尔医医院</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资金分配情况：专用材料费0.3</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（三）项目名称：2024年全民健康体检县级补助资金（县级配套）</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设立的政策依据：按照《关于有序开展2020年度全民健康体检工作的通知》（新体检办发【2020】1号）执行</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预算安排规模：25.00万元</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项目承担单位：托克逊县维吾尔医医院</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资金分配情况：用于支付电费5</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万元，专用材料费20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（四）项目名称：吐市财社[2023]73号2024年中央医疗服务与保障能力提升[中医药事业传承与发展部分]补助资金</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设立的政策依据：提前下达2024年中央医疗服务与保障能力提升[中医药事业传承与发展部分]预算的通知</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预算安排规模：200.00万元</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项目承担单位：托克逊县维吾尔医医院</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资金分配情况：专用设备购置费用187.67万元，培训费支出8.33元，劳务费支出4</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八、关于托克逊县维吾尔医医院单位2024年政府性基金预算拨款情况说明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托克逊县维吾尔医医院2024年没有使用政府性基金预算拨款安排的支出，政府性基金预算支出情况表为空表。</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九、关于托克逊县维吾尔医医院单位2024年国有资本经营预算拨款情况说明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托克逊县维吾尔医医院2024年没有使用国有资本经营预算拨款安排的支出，国有资本经营预算支出情况表为空表。</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十、关于托克逊县维吾尔医医院单位2024年财政拨款“三公”经费预算情况说明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托克逊县维吾尔医医院单位2024年财政拨款“三公”经费数为0.00万元，其中：因公出国（境）费0.00万元，公务用车购置费0.00万元，公务用车运行费0.00万元，公务接待费0.00万元。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十一、关于托克逊县维吾尔医医院单位2024年上年结转结余预算情况说明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托克逊县维吾尔医医院单位2024年无上年结转结余预算的支出，结转结余预算支出情况表为空表。</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十二、其他重要事项的情况说明</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（一）单位运行经费情况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托克逊县维吾尔医医院单位2024年的事业单位运行经费财政拨款预算0.00万元，比上年预算减少0.00万元，下降0.00%。主要原因是我单位未安排事业单位运行经费，因此预算较上年无变动。</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（二）政府采购情况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2024年，托克逊县维吾尔医医院单位政府采购预算669.55万元，其中：政府采购货物预算669.55万元，政府采购工程预算0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万元，政府采购服务预算0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仿宋_GB2312" w:eastAsia="仿宋_GB2312"/>
          <w:color w:val="auto"/>
          <w:sz w:val="32"/>
        </w:rPr>
        <w:t>2024年，托克逊县维吾尔医医院单位面向中小企业预留政府采购项目预算金额0</w:t>
      </w:r>
      <w:r>
        <w:rPr>
          <w:rFonts w:hint="eastAsia" w:ascii="仿宋_GB2312" w:hAnsi="黑体" w:eastAsia="仿宋_GB2312"/>
          <w:color w:val="auto"/>
          <w:sz w:val="32"/>
          <w:szCs w:val="32"/>
          <w:lang w:val="en-US" w:eastAsia="zh-CN"/>
        </w:rPr>
        <w:t>.00</w:t>
      </w:r>
      <w:r>
        <w:rPr>
          <w:rFonts w:hint="eastAsia" w:ascii="仿宋_GB2312" w:hAnsi="仿宋_GB2312" w:eastAsia="仿宋_GB2312"/>
          <w:color w:val="auto"/>
          <w:sz w:val="32"/>
        </w:rPr>
        <w:t>万元，小微企业预留政府采购项目预算金额0</w:t>
      </w:r>
      <w:r>
        <w:rPr>
          <w:rFonts w:hint="eastAsia" w:ascii="仿宋_GB2312" w:hAnsi="黑体" w:eastAsia="仿宋_GB2312"/>
          <w:color w:val="auto"/>
          <w:sz w:val="32"/>
          <w:szCs w:val="32"/>
          <w:lang w:val="en-US" w:eastAsia="zh-CN"/>
        </w:rPr>
        <w:t>.00</w:t>
      </w:r>
      <w:r>
        <w:rPr>
          <w:rFonts w:hint="eastAsia" w:ascii="仿宋_GB2312" w:hAnsi="仿宋_GB2312" w:eastAsia="仿宋_GB2312"/>
          <w:color w:val="auto"/>
          <w:sz w:val="32"/>
        </w:rPr>
        <w:t>万元。</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（三）国有资产占用使用情况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截至2023年底，托克逊县维吾尔医医院单位及下属各预算单位占用使用国有资产总体情况为：</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1.房屋13720.23平方米，价值3528.79万元。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2.车辆2辆，价值50.17万元；其中：一般公务用车0辆，价值0万元；执法执勤用车0辆，价值0万元；其他车辆2辆，价值50.17万元。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3.办公家具价值129.61万元。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4.其他资产价值2295.21万元。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单位价值50万元以上大型设备3台，单位价值100万元以上大型设备6台。</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2024年单位预算未安排购置车辆经费，安排购置50万元以上大型设备2台，单位价值100万元以上大型设备1台。</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（四）预算绩效情况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2024年，本单位预算绩效管理整体预算绩效目标1个，涉及金额</w:t>
      </w:r>
      <w:r>
        <w:rPr>
          <w:rFonts w:ascii="仿宋_GB2312" w:hAnsi="宋体" w:eastAsia="仿宋_GB2312" w:cs="宋体"/>
          <w:color w:val="auto"/>
          <w:kern w:val="0"/>
          <w:sz w:val="32"/>
          <w:szCs w:val="32"/>
        </w:rPr>
        <w:t>3867.3</w:t>
      </w:r>
      <w:r>
        <w:rPr>
          <w:rFonts w:hint="eastAsia" w:ascii="仿宋_GB2312" w:hAnsi="宋体" w:eastAsia="仿宋_GB2312" w:cs="宋体"/>
          <w:color w:val="auto"/>
          <w:kern w:val="0"/>
          <w:sz w:val="32"/>
          <w:szCs w:val="32"/>
        </w:rPr>
        <w:t>0万元；当年财政拨款项目4个，涉及预算金额</w:t>
      </w:r>
      <w:r>
        <w:rPr>
          <w:rFonts w:ascii="仿宋_GB2312" w:hAnsi="宋体" w:eastAsia="仿宋_GB2312" w:cs="宋体"/>
          <w:color w:val="auto"/>
          <w:kern w:val="0"/>
          <w:sz w:val="32"/>
          <w:szCs w:val="32"/>
        </w:rPr>
        <w:t>265.3</w:t>
      </w:r>
      <w:r>
        <w:rPr>
          <w:rFonts w:hint="eastAsia" w:ascii="仿宋_GB2312" w:hAnsi="宋体" w:eastAsia="仿宋_GB2312" w:cs="宋体"/>
          <w:color w:val="auto"/>
          <w:kern w:val="0"/>
          <w:sz w:val="32"/>
          <w:szCs w:val="32"/>
        </w:rPr>
        <w:t>0万元；当年非财政拨款项目1个，涉及预算金额</w:t>
      </w:r>
      <w:r>
        <w:rPr>
          <w:rFonts w:ascii="仿宋_GB2312" w:hAnsi="宋体" w:eastAsia="仿宋_GB2312" w:cs="宋体"/>
          <w:color w:val="auto"/>
          <w:kern w:val="0"/>
          <w:sz w:val="32"/>
          <w:szCs w:val="32"/>
        </w:rPr>
        <w:t>2800</w:t>
      </w:r>
      <w:r>
        <w:rPr>
          <w:rFonts w:hint="eastAsia" w:ascii="仿宋_GB2312" w:hAnsi="宋体" w:eastAsia="仿宋_GB2312" w:cs="宋体"/>
          <w:color w:val="auto"/>
          <w:kern w:val="0"/>
          <w:sz w:val="32"/>
          <w:szCs w:val="32"/>
        </w:rPr>
        <w:t>.00万元。具体情况见下表：</w:t>
      </w:r>
    </w:p>
    <w:p>
      <w:pPr>
        <w:widowControl/>
        <w:spacing w:line="600" w:lineRule="exact"/>
        <w:rPr>
          <w:rFonts w:ascii="仿宋_GB2312" w:hAnsi="宋体" w:eastAsia="仿宋_GB2312" w:cs="宋体"/>
          <w:color w:val="auto"/>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350" w:type="dxa"/>
        <w:jc w:val="center"/>
        <w:tblLayout w:type="autofit"/>
        <w:tblCellMar>
          <w:top w:w="0" w:type="dxa"/>
          <w:left w:w="108" w:type="dxa"/>
          <w:bottom w:w="0" w:type="dxa"/>
          <w:right w:w="108" w:type="dxa"/>
        </w:tblCellMar>
      </w:tblPr>
      <w:tblGrid>
        <w:gridCol w:w="1163"/>
        <w:gridCol w:w="1474"/>
        <w:gridCol w:w="2749"/>
        <w:gridCol w:w="1427"/>
        <w:gridCol w:w="2174"/>
        <w:gridCol w:w="1363"/>
      </w:tblGrid>
      <w:tr>
        <w:tblPrEx>
          <w:tblCellMar>
            <w:top w:w="0" w:type="dxa"/>
            <w:left w:w="108" w:type="dxa"/>
            <w:bottom w:w="0" w:type="dxa"/>
            <w:right w:w="108" w:type="dxa"/>
          </w:tblCellMar>
        </w:tblPrEx>
        <w:trPr>
          <w:trHeight w:val="800" w:hRule="atLeast"/>
          <w:jc w:val="center"/>
        </w:trPr>
        <w:tc>
          <w:tcPr>
            <w:tcW w:w="10350" w:type="dxa"/>
            <w:gridSpan w:val="6"/>
            <w:tcBorders>
              <w:top w:val="nil"/>
              <w:left w:val="nil"/>
              <w:bottom w:val="nil"/>
              <w:right w:val="nil"/>
            </w:tcBorders>
            <w:shd w:val="clear" w:color="auto" w:fill="auto"/>
            <w:vAlign w:val="center"/>
          </w:tcPr>
          <w:p>
            <w:pPr>
              <w:widowControl/>
              <w:jc w:val="center"/>
              <w:rPr>
                <w:rFonts w:ascii="华文中宋" w:hAnsi="华文中宋" w:eastAsia="华文中宋" w:cs="宋体"/>
                <w:b/>
                <w:bCs/>
                <w:color w:val="auto"/>
                <w:kern w:val="0"/>
                <w:sz w:val="40"/>
                <w:szCs w:val="40"/>
              </w:rPr>
            </w:pPr>
            <w:r>
              <w:rPr>
                <w:rFonts w:hint="eastAsia" w:ascii="仿宋_GB2312" w:hAnsi="宋体" w:eastAsia="仿宋_GB2312" w:cs="仿宋_GB2312"/>
                <w:b/>
                <w:color w:val="auto"/>
                <w:kern w:val="0"/>
                <w:sz w:val="40"/>
                <w:szCs w:val="40"/>
                <w:lang w:bidi="ar"/>
              </w:rPr>
              <w:t>单位整体绩效目标表</w:t>
            </w:r>
          </w:p>
        </w:tc>
      </w:tr>
      <w:tr>
        <w:tblPrEx>
          <w:tblCellMar>
            <w:top w:w="0" w:type="dxa"/>
            <w:left w:w="108" w:type="dxa"/>
            <w:bottom w:w="0" w:type="dxa"/>
            <w:right w:w="108" w:type="dxa"/>
          </w:tblCellMar>
        </w:tblPrEx>
        <w:trPr>
          <w:trHeight w:val="446" w:hRule="atLeast"/>
          <w:jc w:val="center"/>
        </w:trPr>
        <w:tc>
          <w:tcPr>
            <w:tcW w:w="10350" w:type="dxa"/>
            <w:gridSpan w:val="6"/>
            <w:tcBorders>
              <w:top w:val="nil"/>
              <w:left w:val="nil"/>
              <w:bottom w:val="nil"/>
              <w:right w:val="nil"/>
            </w:tcBorders>
            <w:shd w:val="clear" w:color="auto" w:fill="auto"/>
            <w:vAlign w:val="center"/>
          </w:tcPr>
          <w:p>
            <w:pPr>
              <w:widowControl/>
              <w:jc w:val="center"/>
              <w:rPr>
                <w:rFonts w:ascii="宋体" w:hAnsi="宋体" w:cs="宋体"/>
                <w:b/>
                <w:bCs/>
                <w:color w:val="auto"/>
                <w:kern w:val="0"/>
                <w:sz w:val="24"/>
              </w:rPr>
            </w:pPr>
            <w:r>
              <w:rPr>
                <w:rFonts w:hint="eastAsia" w:ascii="宋体" w:hAnsi="宋体" w:cs="宋体"/>
                <w:color w:val="auto"/>
                <w:sz w:val="24"/>
              </w:rPr>
              <w:t>（2024年）</w:t>
            </w:r>
          </w:p>
        </w:tc>
      </w:tr>
      <w:tr>
        <w:tblPrEx>
          <w:tblCellMar>
            <w:top w:w="0" w:type="dxa"/>
            <w:left w:w="108" w:type="dxa"/>
            <w:bottom w:w="0" w:type="dxa"/>
            <w:right w:w="108" w:type="dxa"/>
          </w:tblCellMar>
        </w:tblPrEx>
        <w:trPr>
          <w:trHeight w:val="595" w:hRule="atLeast"/>
          <w:jc w:val="center"/>
        </w:trPr>
        <w:tc>
          <w:tcPr>
            <w:tcW w:w="26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单位名称（盖章）</w:t>
            </w:r>
          </w:p>
        </w:tc>
        <w:tc>
          <w:tcPr>
            <w:tcW w:w="7712"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托克逊县维吾尔医医院</w:t>
            </w:r>
          </w:p>
        </w:tc>
      </w:tr>
      <w:tr>
        <w:tblPrEx>
          <w:tblCellMar>
            <w:top w:w="0" w:type="dxa"/>
            <w:left w:w="108" w:type="dxa"/>
            <w:bottom w:w="0" w:type="dxa"/>
            <w:right w:w="108" w:type="dxa"/>
          </w:tblCellMar>
        </w:tblPrEx>
        <w:trPr>
          <w:trHeight w:val="595" w:hRule="atLeast"/>
          <w:jc w:val="center"/>
        </w:trPr>
        <w:tc>
          <w:tcPr>
            <w:tcW w:w="263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单位联系人</w:t>
            </w:r>
          </w:p>
        </w:tc>
        <w:tc>
          <w:tcPr>
            <w:tcW w:w="417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努日扎提古丽·赛米</w:t>
            </w:r>
          </w:p>
        </w:tc>
        <w:tc>
          <w:tcPr>
            <w:tcW w:w="21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20"/>
                <w:szCs w:val="20"/>
              </w:rPr>
              <w:t>联系电话：</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15299440393</w:t>
            </w:r>
          </w:p>
        </w:tc>
      </w:tr>
      <w:tr>
        <w:tblPrEx>
          <w:tblCellMar>
            <w:top w:w="0" w:type="dxa"/>
            <w:left w:w="108" w:type="dxa"/>
            <w:bottom w:w="0" w:type="dxa"/>
            <w:right w:w="108" w:type="dxa"/>
          </w:tblCellMar>
        </w:tblPrEx>
        <w:trPr>
          <w:trHeight w:val="3448" w:hRule="atLeast"/>
          <w:jc w:val="center"/>
        </w:trPr>
        <w:tc>
          <w:tcPr>
            <w:tcW w:w="26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年度绩效目标</w:t>
            </w:r>
          </w:p>
        </w:tc>
        <w:tc>
          <w:tcPr>
            <w:tcW w:w="7712"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1.持续加强党建工作，把“讲政治、铸忠诚”作为首位要求贯穿始终；创立学习型党组织，持续开展主题教育活动；压紧压实责任，把“组织强、作风实”作为纪律要求贯彻始终；加强党风廉政教育，持续强化宣传教育，从思想上预防和治理腐败。</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加强医院业务部门工作，完善医疗质量与安全管理，提高医疗水平，保障医疗安全，改善医疗服务；打造学习型医院，开展“三基三严”、“法律法规”培训，努力提升医务人员的综合素质；完善医疗纠纷和投诉管理；加强不良事件的管理工作。</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3.加强医院护理质量工作，紧紧围绕“质量、安全、服务、管理、绩效”新标准开展工作，认真履行岗位职能，持续改进护理质量，为患者提供安全、满意的服务。</w:t>
            </w:r>
            <w:r>
              <w:rPr>
                <w:rFonts w:hint="eastAsia" w:ascii="宋体" w:hAnsi="宋体" w:cs="宋体"/>
                <w:color w:val="auto"/>
                <w:kern w:val="0"/>
                <w:sz w:val="18"/>
                <w:szCs w:val="18"/>
              </w:rPr>
              <w:br w:type="textWrapping"/>
            </w:r>
            <w:r>
              <w:rPr>
                <w:rFonts w:hint="eastAsia" w:ascii="宋体" w:hAnsi="宋体" w:cs="宋体"/>
                <w:color w:val="auto"/>
                <w:kern w:val="0"/>
                <w:sz w:val="18"/>
                <w:szCs w:val="18"/>
              </w:rPr>
              <w:t>4.加强医院感染防控工作，严格按照“及时发现、快速处置、精准管控、有效救治”工作要求，全力以赴落实落院感防控各项防控工作，坚决防止疫情扩散蔓延；加强全员培训和演练，提高应急能力；强化院感防控和医护人员防护，坚决杜绝院感事件发生；加强督导检查力度，强化责任落实。</w:t>
            </w:r>
            <w:r>
              <w:rPr>
                <w:rFonts w:hint="eastAsia" w:ascii="宋体" w:hAnsi="宋体" w:cs="宋体"/>
                <w:color w:val="auto"/>
                <w:kern w:val="0"/>
                <w:sz w:val="18"/>
                <w:szCs w:val="18"/>
              </w:rPr>
              <w:br w:type="textWrapping"/>
            </w:r>
            <w:r>
              <w:rPr>
                <w:rFonts w:hint="eastAsia" w:ascii="宋体" w:hAnsi="宋体" w:cs="宋体"/>
                <w:color w:val="auto"/>
                <w:kern w:val="0"/>
                <w:sz w:val="18"/>
                <w:szCs w:val="18"/>
              </w:rPr>
              <w:t>5.加强医院药品质量工作，进一步加强各药房和药库管理；加强临床用药指导，促进临床合理用药；继续加强病人用药教育宣传，门诊用药咨询服务，提高病人用药依从性，宣传用药知识，指导病人安全用药，促进合理用药；继续抓好药品的质量安全和药品供应。</w:t>
            </w:r>
            <w:r>
              <w:rPr>
                <w:rFonts w:hint="eastAsia" w:ascii="宋体" w:hAnsi="宋体" w:cs="宋体"/>
                <w:color w:val="auto"/>
                <w:kern w:val="0"/>
                <w:sz w:val="18"/>
                <w:szCs w:val="18"/>
              </w:rPr>
              <w:br w:type="textWrapping"/>
            </w:r>
            <w:r>
              <w:rPr>
                <w:rFonts w:hint="eastAsia" w:ascii="宋体" w:hAnsi="宋体" w:cs="宋体"/>
                <w:color w:val="auto"/>
                <w:kern w:val="0"/>
                <w:sz w:val="18"/>
                <w:szCs w:val="18"/>
              </w:rPr>
              <w:t>6.我院启动全民健康体检工作，实现全民免费健康体检工作全覆盖，到健康体检常态化；7.加强收费员对系统操作方面的培训，减少患者等候时间。</w:t>
            </w:r>
            <w:r>
              <w:rPr>
                <w:rFonts w:hint="eastAsia" w:ascii="宋体" w:hAnsi="宋体" w:cs="宋体"/>
                <w:color w:val="auto"/>
                <w:kern w:val="0"/>
                <w:sz w:val="18"/>
                <w:szCs w:val="18"/>
              </w:rPr>
              <w:br w:type="textWrapping"/>
            </w:r>
            <w:r>
              <w:rPr>
                <w:rFonts w:hint="eastAsia" w:ascii="宋体" w:hAnsi="宋体" w:cs="宋体"/>
                <w:color w:val="auto"/>
                <w:kern w:val="0"/>
                <w:sz w:val="18"/>
                <w:szCs w:val="18"/>
              </w:rPr>
              <w:t>8.医务部带头开展义诊活动，医疗专家组以提升基层医院医疗服务水平，减轻当地群众的医疗负担；</w:t>
            </w:r>
          </w:p>
        </w:tc>
      </w:tr>
      <w:tr>
        <w:tblPrEx>
          <w:tblCellMar>
            <w:top w:w="0" w:type="dxa"/>
            <w:left w:w="108" w:type="dxa"/>
            <w:bottom w:w="0" w:type="dxa"/>
            <w:right w:w="108" w:type="dxa"/>
          </w:tblCellMar>
        </w:tblPrEx>
        <w:trPr>
          <w:trHeight w:val="558" w:hRule="atLeast"/>
          <w:jc w:val="center"/>
        </w:trPr>
        <w:tc>
          <w:tcPr>
            <w:tcW w:w="263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年度预算（万元）</w:t>
            </w:r>
          </w:p>
        </w:tc>
        <w:tc>
          <w:tcPr>
            <w:tcW w:w="41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资金来源</w:t>
            </w:r>
          </w:p>
        </w:tc>
        <w:tc>
          <w:tcPr>
            <w:tcW w:w="35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资金总额（万元）</w:t>
            </w:r>
          </w:p>
        </w:tc>
      </w:tr>
      <w:tr>
        <w:tblPrEx>
          <w:tblCellMar>
            <w:top w:w="0" w:type="dxa"/>
            <w:left w:w="108" w:type="dxa"/>
            <w:bottom w:w="0" w:type="dxa"/>
            <w:right w:w="108" w:type="dxa"/>
          </w:tblCellMar>
        </w:tblPrEx>
        <w:trPr>
          <w:trHeight w:val="407" w:hRule="atLeast"/>
          <w:jc w:val="center"/>
        </w:trPr>
        <w:tc>
          <w:tcPr>
            <w:tcW w:w="263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p>
        </w:tc>
        <w:tc>
          <w:tcPr>
            <w:tcW w:w="274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财政资金（万元）</w:t>
            </w:r>
          </w:p>
        </w:tc>
        <w:tc>
          <w:tcPr>
            <w:tcW w:w="14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上级安排</w:t>
            </w:r>
          </w:p>
        </w:tc>
        <w:tc>
          <w:tcPr>
            <w:tcW w:w="353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240.30</w:t>
            </w:r>
          </w:p>
        </w:tc>
      </w:tr>
      <w:tr>
        <w:tblPrEx>
          <w:tblCellMar>
            <w:top w:w="0" w:type="dxa"/>
            <w:left w:w="108" w:type="dxa"/>
            <w:bottom w:w="0" w:type="dxa"/>
            <w:right w:w="108" w:type="dxa"/>
          </w:tblCellMar>
        </w:tblPrEx>
        <w:trPr>
          <w:trHeight w:val="446" w:hRule="atLeast"/>
          <w:jc w:val="center"/>
        </w:trPr>
        <w:tc>
          <w:tcPr>
            <w:tcW w:w="263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p>
        </w:tc>
        <w:tc>
          <w:tcPr>
            <w:tcW w:w="2749"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本级安排</w:t>
            </w:r>
          </w:p>
        </w:tc>
        <w:tc>
          <w:tcPr>
            <w:tcW w:w="353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3627.00</w:t>
            </w:r>
          </w:p>
        </w:tc>
      </w:tr>
      <w:tr>
        <w:tblPrEx>
          <w:tblCellMar>
            <w:top w:w="0" w:type="dxa"/>
            <w:left w:w="108" w:type="dxa"/>
            <w:bottom w:w="0" w:type="dxa"/>
            <w:right w:w="108" w:type="dxa"/>
          </w:tblCellMar>
        </w:tblPrEx>
        <w:trPr>
          <w:trHeight w:val="446" w:hRule="atLeast"/>
          <w:jc w:val="center"/>
        </w:trPr>
        <w:tc>
          <w:tcPr>
            <w:tcW w:w="263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p>
        </w:tc>
        <w:tc>
          <w:tcPr>
            <w:tcW w:w="27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其他资金（万元）</w:t>
            </w:r>
          </w:p>
        </w:tc>
        <w:tc>
          <w:tcPr>
            <w:tcW w:w="14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其他</w:t>
            </w:r>
          </w:p>
        </w:tc>
        <w:tc>
          <w:tcPr>
            <w:tcW w:w="353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502" w:hRule="atLeast"/>
          <w:jc w:val="center"/>
        </w:trPr>
        <w:tc>
          <w:tcPr>
            <w:tcW w:w="116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一级指标</w:t>
            </w:r>
          </w:p>
        </w:tc>
        <w:tc>
          <w:tcPr>
            <w:tcW w:w="14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二级指标</w:t>
            </w:r>
          </w:p>
        </w:tc>
        <w:tc>
          <w:tcPr>
            <w:tcW w:w="27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三级指标</w:t>
            </w:r>
          </w:p>
        </w:tc>
        <w:tc>
          <w:tcPr>
            <w:tcW w:w="14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指标值</w:t>
            </w:r>
          </w:p>
        </w:tc>
        <w:tc>
          <w:tcPr>
            <w:tcW w:w="21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指标设定依据</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分值权重</w:t>
            </w:r>
          </w:p>
        </w:tc>
      </w:tr>
      <w:tr>
        <w:tblPrEx>
          <w:tblCellMar>
            <w:top w:w="0" w:type="dxa"/>
            <w:left w:w="108" w:type="dxa"/>
            <w:bottom w:w="0" w:type="dxa"/>
            <w:right w:w="108" w:type="dxa"/>
          </w:tblCellMar>
        </w:tblPrEx>
        <w:trPr>
          <w:trHeight w:val="446" w:hRule="atLeast"/>
          <w:jc w:val="center"/>
        </w:trPr>
        <w:tc>
          <w:tcPr>
            <w:tcW w:w="116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履职效能</w:t>
            </w:r>
          </w:p>
        </w:tc>
        <w:tc>
          <w:tcPr>
            <w:tcW w:w="14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74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全民健康体检人数</w:t>
            </w:r>
          </w:p>
        </w:tc>
        <w:tc>
          <w:tcPr>
            <w:tcW w:w="14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≥6397人</w:t>
            </w:r>
          </w:p>
        </w:tc>
        <w:tc>
          <w:tcPr>
            <w:tcW w:w="21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自治区人民政府文件</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18</w:t>
            </w:r>
          </w:p>
        </w:tc>
      </w:tr>
      <w:tr>
        <w:tblPrEx>
          <w:tblCellMar>
            <w:top w:w="0" w:type="dxa"/>
            <w:left w:w="108" w:type="dxa"/>
            <w:bottom w:w="0" w:type="dxa"/>
            <w:right w:w="108" w:type="dxa"/>
          </w:tblCellMar>
        </w:tblPrEx>
        <w:trPr>
          <w:trHeight w:val="446" w:hRule="atLeast"/>
          <w:jc w:val="center"/>
        </w:trPr>
        <w:tc>
          <w:tcPr>
            <w:tcW w:w="1163"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74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开展业务、医保培训次数</w:t>
            </w:r>
          </w:p>
        </w:tc>
        <w:tc>
          <w:tcPr>
            <w:tcW w:w="14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≥25次</w:t>
            </w:r>
          </w:p>
        </w:tc>
        <w:tc>
          <w:tcPr>
            <w:tcW w:w="21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单位2024年度计划</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18</w:t>
            </w:r>
          </w:p>
        </w:tc>
      </w:tr>
      <w:tr>
        <w:tblPrEx>
          <w:tblCellMar>
            <w:top w:w="0" w:type="dxa"/>
            <w:left w:w="108" w:type="dxa"/>
            <w:bottom w:w="0" w:type="dxa"/>
            <w:right w:w="108" w:type="dxa"/>
          </w:tblCellMar>
        </w:tblPrEx>
        <w:trPr>
          <w:trHeight w:val="502" w:hRule="atLeast"/>
          <w:jc w:val="center"/>
        </w:trPr>
        <w:tc>
          <w:tcPr>
            <w:tcW w:w="1163"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74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医疗环境监测合格率</w:t>
            </w:r>
          </w:p>
        </w:tc>
        <w:tc>
          <w:tcPr>
            <w:tcW w:w="14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≥98.8%</w:t>
            </w:r>
          </w:p>
        </w:tc>
        <w:tc>
          <w:tcPr>
            <w:tcW w:w="21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单位2024年度计划</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18</w:t>
            </w:r>
          </w:p>
        </w:tc>
      </w:tr>
      <w:tr>
        <w:tblPrEx>
          <w:tblCellMar>
            <w:top w:w="0" w:type="dxa"/>
            <w:left w:w="108" w:type="dxa"/>
            <w:bottom w:w="0" w:type="dxa"/>
            <w:right w:w="108" w:type="dxa"/>
          </w:tblCellMar>
        </w:tblPrEx>
        <w:trPr>
          <w:trHeight w:val="446" w:hRule="atLeast"/>
          <w:jc w:val="center"/>
        </w:trPr>
        <w:tc>
          <w:tcPr>
            <w:tcW w:w="116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社会效益</w:t>
            </w:r>
          </w:p>
        </w:tc>
        <w:tc>
          <w:tcPr>
            <w:tcW w:w="14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社会效益指标</w:t>
            </w:r>
          </w:p>
        </w:tc>
        <w:tc>
          <w:tcPr>
            <w:tcW w:w="27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开展义诊活动次数</w:t>
            </w:r>
          </w:p>
        </w:tc>
        <w:tc>
          <w:tcPr>
            <w:tcW w:w="14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≥45次</w:t>
            </w:r>
          </w:p>
        </w:tc>
        <w:tc>
          <w:tcPr>
            <w:tcW w:w="21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单位2024年度计划</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18</w:t>
            </w:r>
          </w:p>
        </w:tc>
      </w:tr>
      <w:tr>
        <w:tblPrEx>
          <w:tblCellMar>
            <w:top w:w="0" w:type="dxa"/>
            <w:left w:w="108" w:type="dxa"/>
            <w:bottom w:w="0" w:type="dxa"/>
            <w:right w:w="108" w:type="dxa"/>
          </w:tblCellMar>
        </w:tblPrEx>
        <w:trPr>
          <w:trHeight w:val="446" w:hRule="atLeast"/>
          <w:jc w:val="center"/>
        </w:trPr>
        <w:tc>
          <w:tcPr>
            <w:tcW w:w="116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可持续发展能力</w:t>
            </w:r>
          </w:p>
        </w:tc>
        <w:tc>
          <w:tcPr>
            <w:tcW w:w="14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生态效益指标</w:t>
            </w:r>
          </w:p>
        </w:tc>
        <w:tc>
          <w:tcPr>
            <w:tcW w:w="27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医疗废物规范管理率</w:t>
            </w:r>
          </w:p>
        </w:tc>
        <w:tc>
          <w:tcPr>
            <w:tcW w:w="14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21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中央文件</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18</w:t>
            </w:r>
          </w:p>
        </w:tc>
      </w:tr>
    </w:tbl>
    <w:p>
      <w:pPr>
        <w:jc w:val="center"/>
        <w:rPr>
          <w:rFonts w:ascii="宋体" w:hAnsi="宋体"/>
          <w:color w:val="auto"/>
          <w:sz w:val="18"/>
          <w:szCs w:val="18"/>
        </w:rPr>
      </w:pPr>
    </w:p>
    <w:p>
      <w:pPr>
        <w:widowControl/>
        <w:jc w:val="center"/>
        <w:rPr>
          <w:rFonts w:ascii="宋体" w:hAnsi="宋体"/>
          <w:color w:val="auto"/>
          <w:sz w:val="18"/>
          <w:szCs w:val="18"/>
        </w:rPr>
      </w:pPr>
      <w:r>
        <w:rPr>
          <w:rFonts w:ascii="宋体" w:hAnsi="宋体"/>
          <w:color w:val="auto"/>
          <w:sz w:val="18"/>
          <w:szCs w:val="18"/>
        </w:rPr>
        <w:br w:type="page"/>
      </w:r>
    </w:p>
    <w:tbl>
      <w:tblPr>
        <w:tblStyle w:val="4"/>
        <w:tblW w:w="10453" w:type="dxa"/>
        <w:jc w:val="center"/>
        <w:tblLayout w:type="autofit"/>
        <w:tblCellMar>
          <w:top w:w="0" w:type="dxa"/>
          <w:left w:w="108" w:type="dxa"/>
          <w:bottom w:w="0" w:type="dxa"/>
          <w:right w:w="108" w:type="dxa"/>
        </w:tblCellMar>
      </w:tblPr>
      <w:tblGrid>
        <w:gridCol w:w="963"/>
        <w:gridCol w:w="1427"/>
        <w:gridCol w:w="2372"/>
        <w:gridCol w:w="982"/>
        <w:gridCol w:w="1020"/>
        <w:gridCol w:w="871"/>
        <w:gridCol w:w="852"/>
        <w:gridCol w:w="1074"/>
        <w:gridCol w:w="892"/>
      </w:tblGrid>
      <w:tr>
        <w:tblPrEx>
          <w:tblCellMar>
            <w:top w:w="0" w:type="dxa"/>
            <w:left w:w="108" w:type="dxa"/>
            <w:bottom w:w="0" w:type="dxa"/>
            <w:right w:w="108" w:type="dxa"/>
          </w:tblCellMar>
        </w:tblPrEx>
        <w:trPr>
          <w:trHeight w:val="653" w:hRule="atLeast"/>
          <w:jc w:val="center"/>
        </w:trPr>
        <w:tc>
          <w:tcPr>
            <w:tcW w:w="10453" w:type="dxa"/>
            <w:gridSpan w:val="9"/>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367" w:hRule="atLeast"/>
          <w:jc w:val="center"/>
        </w:trPr>
        <w:tc>
          <w:tcPr>
            <w:tcW w:w="10453" w:type="dxa"/>
            <w:gridSpan w:val="9"/>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510" w:hRule="atLeast"/>
          <w:jc w:val="center"/>
        </w:trPr>
        <w:tc>
          <w:tcPr>
            <w:tcW w:w="23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06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托克逊县维吾尔医医院</w:t>
            </w:r>
          </w:p>
        </w:tc>
      </w:tr>
      <w:tr>
        <w:tblPrEx>
          <w:tblCellMar>
            <w:top w:w="0" w:type="dxa"/>
            <w:left w:w="108" w:type="dxa"/>
            <w:bottom w:w="0" w:type="dxa"/>
            <w:right w:w="108" w:type="dxa"/>
          </w:tblCellMar>
        </w:tblPrEx>
        <w:trPr>
          <w:trHeight w:val="571" w:hRule="atLeast"/>
          <w:jc w:val="center"/>
        </w:trPr>
        <w:tc>
          <w:tcPr>
            <w:tcW w:w="23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374"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2024年全民健康体检县级补助资金</w:t>
            </w:r>
          </w:p>
        </w:tc>
        <w:tc>
          <w:tcPr>
            <w:tcW w:w="172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96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努日扎提古丽·赛米</w:t>
            </w:r>
          </w:p>
        </w:tc>
      </w:tr>
      <w:tr>
        <w:tblPrEx>
          <w:tblCellMar>
            <w:top w:w="0" w:type="dxa"/>
            <w:left w:w="108" w:type="dxa"/>
            <w:bottom w:w="0" w:type="dxa"/>
            <w:right w:w="108" w:type="dxa"/>
          </w:tblCellMar>
        </w:tblPrEx>
        <w:trPr>
          <w:trHeight w:val="837" w:hRule="atLeast"/>
          <w:jc w:val="center"/>
        </w:trPr>
        <w:tc>
          <w:tcPr>
            <w:tcW w:w="23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37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年度预算总额：</w:t>
            </w:r>
          </w:p>
        </w:tc>
        <w:tc>
          <w:tcPr>
            <w:tcW w:w="9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25.00</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其中：财政拨款</w:t>
            </w:r>
          </w:p>
        </w:tc>
        <w:tc>
          <w:tcPr>
            <w:tcW w:w="8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25.00</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w:t>
            </w:r>
          </w:p>
        </w:tc>
        <w:tc>
          <w:tcPr>
            <w:tcW w:w="196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1388" w:hRule="atLeast"/>
          <w:jc w:val="center"/>
        </w:trPr>
        <w:tc>
          <w:tcPr>
            <w:tcW w:w="23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063"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按照“全面覆盖、免费提供、自愿参检、城乡均等、方便群众”的基本原则，分年度、有重点地对全县15-79岁的居民约6600人进行健康体检，检查项目6项，全面掌握城乡居民健康状况，通过“早发现、早诊断、早治疗”、“未病先防、小病先治”，切实维护群众健康利益，保障群众健康水平。</w:t>
            </w:r>
          </w:p>
        </w:tc>
      </w:tr>
      <w:tr>
        <w:tblPrEx>
          <w:tblCellMar>
            <w:top w:w="0" w:type="dxa"/>
            <w:left w:w="108" w:type="dxa"/>
            <w:bottom w:w="0" w:type="dxa"/>
            <w:right w:w="108" w:type="dxa"/>
          </w:tblCellMar>
        </w:tblPrEx>
        <w:trPr>
          <w:trHeight w:val="530" w:hRule="atLeast"/>
          <w:jc w:val="center"/>
        </w:trPr>
        <w:tc>
          <w:tcPr>
            <w:tcW w:w="96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4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37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9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8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530" w:hRule="atLeast"/>
          <w:jc w:val="center"/>
        </w:trPr>
        <w:tc>
          <w:tcPr>
            <w:tcW w:w="96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427"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37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15-79岁居民体检人数</w:t>
            </w:r>
          </w:p>
        </w:tc>
        <w:tc>
          <w:tcPr>
            <w:tcW w:w="9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≥6600人</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3444人</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10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30" w:hRule="atLeast"/>
          <w:jc w:val="center"/>
        </w:trPr>
        <w:tc>
          <w:tcPr>
            <w:tcW w:w="963"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27"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rPr>
            </w:pPr>
          </w:p>
        </w:tc>
        <w:tc>
          <w:tcPr>
            <w:tcW w:w="237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15-79岁居民体检项目数</w:t>
            </w:r>
          </w:p>
        </w:tc>
        <w:tc>
          <w:tcPr>
            <w:tcW w:w="9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≥6项</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10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30" w:hRule="atLeast"/>
          <w:jc w:val="center"/>
        </w:trPr>
        <w:tc>
          <w:tcPr>
            <w:tcW w:w="963"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27"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37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体检专用材料质量合格率</w:t>
            </w:r>
          </w:p>
        </w:tc>
        <w:tc>
          <w:tcPr>
            <w:tcW w:w="9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10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30" w:hRule="atLeast"/>
          <w:jc w:val="center"/>
        </w:trPr>
        <w:tc>
          <w:tcPr>
            <w:tcW w:w="963"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27" w:type="dxa"/>
            <w:vMerge w:val="continue"/>
            <w:tcBorders>
              <w:top w:val="single" w:color="auto" w:sz="4" w:space="0"/>
              <w:left w:val="single" w:color="auto" w:sz="4" w:space="0"/>
              <w:bottom w:val="nil"/>
              <w:right w:val="single" w:color="auto" w:sz="4" w:space="0"/>
            </w:tcBorders>
            <w:vAlign w:val="center"/>
          </w:tcPr>
          <w:p>
            <w:pPr>
              <w:widowControl/>
              <w:jc w:val="center"/>
              <w:rPr>
                <w:rFonts w:ascii="宋体" w:hAnsi="宋体" w:cs="宋体"/>
                <w:color w:val="auto"/>
                <w:kern w:val="0"/>
                <w:sz w:val="18"/>
                <w:szCs w:val="18"/>
              </w:rPr>
            </w:pPr>
          </w:p>
        </w:tc>
        <w:tc>
          <w:tcPr>
            <w:tcW w:w="237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全民体检任务完成率</w:t>
            </w:r>
          </w:p>
        </w:tc>
        <w:tc>
          <w:tcPr>
            <w:tcW w:w="9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≥90%</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10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30" w:hRule="atLeast"/>
          <w:jc w:val="center"/>
        </w:trPr>
        <w:tc>
          <w:tcPr>
            <w:tcW w:w="963"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2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237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全民免费体检工作开始时间</w:t>
            </w:r>
          </w:p>
        </w:tc>
        <w:tc>
          <w:tcPr>
            <w:tcW w:w="9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2024年2月</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10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30" w:hRule="atLeast"/>
          <w:jc w:val="center"/>
        </w:trPr>
        <w:tc>
          <w:tcPr>
            <w:tcW w:w="96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1427"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经济成本指标</w:t>
            </w:r>
          </w:p>
        </w:tc>
        <w:tc>
          <w:tcPr>
            <w:tcW w:w="237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支付体检专用材料费</w:t>
            </w:r>
          </w:p>
        </w:tc>
        <w:tc>
          <w:tcPr>
            <w:tcW w:w="9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8.05万元</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30" w:hRule="atLeast"/>
          <w:jc w:val="center"/>
        </w:trPr>
        <w:tc>
          <w:tcPr>
            <w:tcW w:w="963"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27"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rPr>
            </w:pPr>
          </w:p>
        </w:tc>
        <w:tc>
          <w:tcPr>
            <w:tcW w:w="237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支付电费</w:t>
            </w:r>
          </w:p>
        </w:tc>
        <w:tc>
          <w:tcPr>
            <w:tcW w:w="9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≤5万元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8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30" w:hRule="atLeast"/>
          <w:jc w:val="center"/>
        </w:trPr>
        <w:tc>
          <w:tcPr>
            <w:tcW w:w="963"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42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社会效益指标</w:t>
            </w:r>
          </w:p>
        </w:tc>
        <w:tc>
          <w:tcPr>
            <w:tcW w:w="237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改善老百姓看病难、看病贵的问题</w:t>
            </w:r>
          </w:p>
        </w:tc>
        <w:tc>
          <w:tcPr>
            <w:tcW w:w="9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有效改善</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8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30" w:hRule="atLeast"/>
          <w:jc w:val="center"/>
        </w:trPr>
        <w:tc>
          <w:tcPr>
            <w:tcW w:w="963"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rPr>
            </w:pPr>
          </w:p>
        </w:tc>
        <w:tc>
          <w:tcPr>
            <w:tcW w:w="1427" w:type="dxa"/>
            <w:vMerge w:val="continue"/>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237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提高早期发现疾病、干预疾病和控制疾病的能力</w:t>
            </w:r>
          </w:p>
        </w:tc>
        <w:tc>
          <w:tcPr>
            <w:tcW w:w="9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8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30" w:hRule="atLeast"/>
          <w:jc w:val="center"/>
        </w:trPr>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14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237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体检人员满意度</w:t>
            </w:r>
          </w:p>
        </w:tc>
        <w:tc>
          <w:tcPr>
            <w:tcW w:w="9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满意度赋分</w:t>
            </w:r>
          </w:p>
        </w:tc>
        <w:tc>
          <w:tcPr>
            <w:tcW w:w="8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bl>
    <w:p>
      <w:pPr>
        <w:jc w:val="center"/>
        <w:rPr>
          <w:rFonts w:ascii="宋体" w:hAnsi="宋体"/>
          <w:color w:val="auto"/>
          <w:sz w:val="18"/>
          <w:szCs w:val="18"/>
        </w:rPr>
      </w:pPr>
    </w:p>
    <w:p>
      <w:pPr>
        <w:widowControl/>
        <w:spacing w:line="560" w:lineRule="exact"/>
        <w:jc w:val="left"/>
        <w:rPr>
          <w:rFonts w:ascii="楷体_GB2312" w:hAnsi="宋体" w:eastAsia="楷体_GB2312" w:cs="宋体"/>
          <w:b/>
          <w:color w:val="auto"/>
          <w:kern w:val="0"/>
          <w:sz w:val="32"/>
          <w:szCs w:val="32"/>
        </w:rPr>
      </w:pPr>
      <w:r>
        <w:rPr>
          <w:rFonts w:ascii="宋体" w:hAnsi="宋体"/>
          <w:color w:val="auto"/>
          <w:sz w:val="18"/>
          <w:szCs w:val="18"/>
        </w:rPr>
        <w:br w:type="page"/>
      </w:r>
    </w:p>
    <w:tbl>
      <w:tblPr>
        <w:tblStyle w:val="4"/>
        <w:tblW w:w="10460" w:type="dxa"/>
        <w:jc w:val="center"/>
        <w:tblLayout w:type="autofit"/>
        <w:tblCellMar>
          <w:top w:w="0" w:type="dxa"/>
          <w:left w:w="108" w:type="dxa"/>
          <w:bottom w:w="0" w:type="dxa"/>
          <w:right w:w="108" w:type="dxa"/>
        </w:tblCellMar>
      </w:tblPr>
      <w:tblGrid>
        <w:gridCol w:w="959"/>
        <w:gridCol w:w="1072"/>
        <w:gridCol w:w="1821"/>
        <w:gridCol w:w="1161"/>
        <w:gridCol w:w="988"/>
        <w:gridCol w:w="807"/>
        <w:gridCol w:w="807"/>
        <w:gridCol w:w="1015"/>
        <w:gridCol w:w="1830"/>
      </w:tblGrid>
      <w:tr>
        <w:tblPrEx>
          <w:tblCellMar>
            <w:top w:w="0" w:type="dxa"/>
            <w:left w:w="108" w:type="dxa"/>
            <w:bottom w:w="0" w:type="dxa"/>
            <w:right w:w="108" w:type="dxa"/>
          </w:tblCellMar>
        </w:tblPrEx>
        <w:trPr>
          <w:trHeight w:val="420" w:hRule="atLeast"/>
          <w:jc w:val="center"/>
        </w:trPr>
        <w:tc>
          <w:tcPr>
            <w:tcW w:w="10460" w:type="dxa"/>
            <w:gridSpan w:val="9"/>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300" w:hRule="atLeast"/>
          <w:jc w:val="center"/>
        </w:trPr>
        <w:tc>
          <w:tcPr>
            <w:tcW w:w="1046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533" w:hRule="atLeast"/>
          <w:jc w:val="center"/>
        </w:trPr>
        <w:tc>
          <w:tcPr>
            <w:tcW w:w="20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42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托克逊县维吾尔医医院</w:t>
            </w:r>
          </w:p>
        </w:tc>
      </w:tr>
      <w:tr>
        <w:tblPrEx>
          <w:tblCellMar>
            <w:top w:w="0" w:type="dxa"/>
            <w:left w:w="108" w:type="dxa"/>
            <w:bottom w:w="0" w:type="dxa"/>
            <w:right w:w="108" w:type="dxa"/>
          </w:tblCellMar>
        </w:tblPrEx>
        <w:trPr>
          <w:trHeight w:val="554" w:hRule="atLeast"/>
          <w:jc w:val="center"/>
        </w:trPr>
        <w:tc>
          <w:tcPr>
            <w:tcW w:w="20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77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维吾尔医医院单位自有资金</w:t>
            </w:r>
          </w:p>
        </w:tc>
        <w:tc>
          <w:tcPr>
            <w:tcW w:w="18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8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努日扎提古丽·赛米</w:t>
            </w:r>
          </w:p>
        </w:tc>
      </w:tr>
      <w:tr>
        <w:tblPrEx>
          <w:tblCellMar>
            <w:top w:w="0" w:type="dxa"/>
            <w:left w:w="108" w:type="dxa"/>
            <w:bottom w:w="0" w:type="dxa"/>
            <w:right w:w="108" w:type="dxa"/>
          </w:tblCellMar>
        </w:tblPrEx>
        <w:trPr>
          <w:trHeight w:val="300" w:hRule="atLeast"/>
          <w:jc w:val="center"/>
        </w:trPr>
        <w:tc>
          <w:tcPr>
            <w:tcW w:w="20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8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2800.00</w:t>
            </w:r>
          </w:p>
        </w:tc>
        <w:tc>
          <w:tcPr>
            <w:tcW w:w="988"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6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c>
          <w:tcPr>
            <w:tcW w:w="1015"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2800.00</w:t>
            </w:r>
          </w:p>
        </w:tc>
      </w:tr>
      <w:tr>
        <w:tblPrEx>
          <w:tblCellMar>
            <w:top w:w="0" w:type="dxa"/>
            <w:left w:w="108" w:type="dxa"/>
            <w:bottom w:w="0" w:type="dxa"/>
            <w:right w:w="108" w:type="dxa"/>
          </w:tblCellMar>
        </w:tblPrEx>
        <w:trPr>
          <w:trHeight w:val="1000" w:hRule="atLeast"/>
          <w:jc w:val="center"/>
        </w:trPr>
        <w:tc>
          <w:tcPr>
            <w:tcW w:w="20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429"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目标1：通过单位自有资金按时发放212名临聘人员和在编人员30%工资，20名劳务派遣人员12个月工资，提高员工工作积极性。</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目标2：支付不少于25家供应商的药品及材料欠款，购入药品及材料，提高专用材料周转率，保证供应商按时提供专用材料，保证患者按时好转。</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目标3：购置不少于25台先进专用设备，保证对患者诊断准确率；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目标4：支付电费、水费、电话费、培训费、差旅费、维修费、印刷费、手续费、办公费等25项支出，保证医院各种业务正常运转。</w:t>
            </w:r>
          </w:p>
        </w:tc>
      </w:tr>
      <w:tr>
        <w:tblPrEx>
          <w:tblCellMar>
            <w:top w:w="0" w:type="dxa"/>
            <w:left w:w="108" w:type="dxa"/>
            <w:bottom w:w="0" w:type="dxa"/>
            <w:right w:w="108" w:type="dxa"/>
          </w:tblCellMar>
        </w:tblPrEx>
        <w:trPr>
          <w:trHeight w:val="520" w:hRule="atLeast"/>
          <w:jc w:val="center"/>
        </w:trPr>
        <w:tc>
          <w:tcPr>
            <w:tcW w:w="95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0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82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400" w:hRule="atLeast"/>
          <w:jc w:val="center"/>
        </w:trPr>
        <w:tc>
          <w:tcPr>
            <w:tcW w:w="9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07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8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派遣人员工作人数</w:t>
            </w: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&lt;=20人</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　-</w:t>
            </w:r>
          </w:p>
        </w:tc>
        <w:tc>
          <w:tcPr>
            <w:tcW w:w="8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8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核增绩效发放人数</w:t>
            </w: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=212人</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　-</w:t>
            </w:r>
          </w:p>
        </w:tc>
        <w:tc>
          <w:tcPr>
            <w:tcW w:w="8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8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药品及材料欠款支付供应商数量</w:t>
            </w: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&gt;=25家</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　-</w:t>
            </w:r>
          </w:p>
        </w:tc>
        <w:tc>
          <w:tcPr>
            <w:tcW w:w="8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8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专用设备购置数量</w:t>
            </w: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&gt;=25台</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　-</w:t>
            </w:r>
          </w:p>
        </w:tc>
        <w:tc>
          <w:tcPr>
            <w:tcW w:w="8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8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临聘人员工作人数</w:t>
            </w: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&gt;=152人</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　-</w:t>
            </w:r>
          </w:p>
        </w:tc>
        <w:tc>
          <w:tcPr>
            <w:tcW w:w="8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8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全年门诊就诊人次</w:t>
            </w: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&gt;=25000人次</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历史标准</w:t>
            </w:r>
          </w:p>
        </w:tc>
        <w:tc>
          <w:tcPr>
            <w:tcW w:w="8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　-</w:t>
            </w:r>
          </w:p>
        </w:tc>
        <w:tc>
          <w:tcPr>
            <w:tcW w:w="8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0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8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专用设备验收合格率</w:t>
            </w: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　-</w:t>
            </w:r>
          </w:p>
        </w:tc>
        <w:tc>
          <w:tcPr>
            <w:tcW w:w="8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0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8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医疗服务收入（不含药品、耗材、检查、检验收入）占医疗收入比例</w:t>
            </w: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&gt;=45%</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　-</w:t>
            </w:r>
          </w:p>
        </w:tc>
        <w:tc>
          <w:tcPr>
            <w:tcW w:w="8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0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8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专用设备采购完成时间</w:t>
            </w: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2024年11月</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　-</w:t>
            </w:r>
          </w:p>
        </w:tc>
        <w:tc>
          <w:tcPr>
            <w:tcW w:w="8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0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0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劳务费支出</w:t>
            </w:r>
          </w:p>
        </w:tc>
        <w:tc>
          <w:tcPr>
            <w:tcW w:w="11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&lt;=130万元</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　-</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绩效工资支出</w:t>
            </w:r>
          </w:p>
        </w:tc>
        <w:tc>
          <w:tcPr>
            <w:tcW w:w="11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&lt;=150万元</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　-</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专用材料费支出</w:t>
            </w:r>
          </w:p>
        </w:tc>
        <w:tc>
          <w:tcPr>
            <w:tcW w:w="11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&lt;=242.40万元</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　-</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专用设备购置费支出</w:t>
            </w:r>
          </w:p>
        </w:tc>
        <w:tc>
          <w:tcPr>
            <w:tcW w:w="11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&lt;=800万元</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　-</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其他工资福利支出</w:t>
            </w:r>
          </w:p>
        </w:tc>
        <w:tc>
          <w:tcPr>
            <w:tcW w:w="11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&lt;=920万元</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　-</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综合办公费支出</w:t>
            </w:r>
          </w:p>
        </w:tc>
        <w:tc>
          <w:tcPr>
            <w:tcW w:w="11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&lt;=557.60万元</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　-</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9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经济效益指标</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专用设备利用率</w:t>
            </w:r>
          </w:p>
        </w:tc>
        <w:tc>
          <w:tcPr>
            <w:tcW w:w="11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&gt;=70%</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　-</w:t>
            </w:r>
          </w:p>
        </w:tc>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1821"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提高患者诊断准确率</w:t>
            </w:r>
          </w:p>
        </w:tc>
        <w:tc>
          <w:tcPr>
            <w:tcW w:w="116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进一步提高</w:t>
            </w:r>
          </w:p>
        </w:tc>
        <w:tc>
          <w:tcPr>
            <w:tcW w:w="98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　-</w:t>
            </w:r>
          </w:p>
        </w:tc>
        <w:tc>
          <w:tcPr>
            <w:tcW w:w="8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1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83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5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0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8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患者对医院服务的满意度</w:t>
            </w: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&gt;=90%</w:t>
            </w:r>
          </w:p>
        </w:tc>
        <w:tc>
          <w:tcPr>
            <w:tcW w:w="9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　-</w:t>
            </w:r>
          </w:p>
        </w:tc>
        <w:tc>
          <w:tcPr>
            <w:tcW w:w="8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widowControl/>
        <w:spacing w:line="560" w:lineRule="exact"/>
        <w:ind w:firstLine="630" w:firstLineChars="196"/>
        <w:jc w:val="left"/>
        <w:rPr>
          <w:rFonts w:ascii="楷体_GB2312" w:hAnsi="宋体" w:eastAsia="楷体_GB2312" w:cs="宋体"/>
          <w:b/>
          <w:color w:val="auto"/>
          <w:kern w:val="0"/>
          <w:sz w:val="32"/>
          <w:szCs w:val="32"/>
        </w:rPr>
        <w:sectPr>
          <w:pgSz w:w="11906" w:h="16838"/>
          <w:pgMar w:top="1440" w:right="1800" w:bottom="1440" w:left="1800" w:header="851" w:footer="992" w:gutter="0"/>
          <w:cols w:space="425" w:num="1"/>
          <w:docGrid w:type="lines" w:linePitch="312" w:charSpace="0"/>
        </w:sectPr>
      </w:pPr>
    </w:p>
    <w:p>
      <w:pPr>
        <w:widowControl/>
        <w:spacing w:line="520" w:lineRule="exact"/>
        <w:ind w:firstLine="630" w:firstLineChars="196"/>
        <w:jc w:val="left"/>
        <w:rPr>
          <w:rFonts w:ascii="楷体_GB2312" w:hAnsi="楷体_GB2312" w:eastAsia="楷体_GB2312" w:cs="楷体_GB2312"/>
          <w:b/>
          <w:color w:val="auto"/>
          <w:kern w:val="0"/>
          <w:sz w:val="32"/>
          <w:szCs w:val="32"/>
        </w:rPr>
      </w:pPr>
      <w:r>
        <w:rPr>
          <w:rFonts w:hint="eastAsia" w:ascii="楷体_GB2312" w:hAnsi="楷体_GB2312" w:eastAsia="楷体_GB2312" w:cs="宋体"/>
          <w:b/>
          <w:color w:val="auto"/>
          <w:kern w:val="0"/>
          <w:sz w:val="32"/>
          <w:szCs w:val="32"/>
        </w:rPr>
        <w:t>（五）其他需说明的事项</w:t>
      </w:r>
    </w:p>
    <w:p>
      <w:pPr>
        <w:widowControl/>
        <w:spacing w:line="520" w:lineRule="exact"/>
        <w:ind w:firstLine="640" w:firstLineChars="20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val="en-US" w:eastAsia="zh-CN"/>
        </w:rPr>
        <w:t>1.</w:t>
      </w:r>
      <w:r>
        <w:rPr>
          <w:rFonts w:hint="eastAsia" w:ascii="仿宋_GB2312" w:hAnsi="宋体" w:eastAsia="仿宋_GB2312" w:cs="宋体"/>
          <w:color w:val="auto"/>
          <w:kern w:val="0"/>
          <w:sz w:val="32"/>
          <w:szCs w:val="32"/>
        </w:rPr>
        <w:t>2024年我单位未安排面向中小企业预留政府采购项目预算；未安排小微企业预留政府采购项目预算。</w:t>
      </w:r>
    </w:p>
    <w:p>
      <w:pPr>
        <w:widowControl/>
        <w:spacing w:line="520" w:lineRule="exact"/>
        <w:ind w:firstLine="640" w:firstLineChars="200"/>
        <w:jc w:val="left"/>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2.</w:t>
      </w:r>
      <w:bookmarkStart w:id="0" w:name="_Hlk169204404"/>
      <w:r>
        <w:rPr>
          <w:rFonts w:hint="eastAsia" w:ascii="仿宋_GB2312" w:hAnsi="黑体" w:eastAsia="仿宋_GB2312" w:cs="Times New Roman"/>
          <w:color w:val="auto"/>
          <w:sz w:val="32"/>
          <w:szCs w:val="32"/>
          <w14:ligatures w14:val="none"/>
        </w:rPr>
        <w:t>本次未公开项目支出绩效目标表共有</w:t>
      </w:r>
      <w:r>
        <w:rPr>
          <w:rFonts w:hint="eastAsia" w:ascii="仿宋_GB2312" w:hAnsi="黑体" w:eastAsia="仿宋_GB2312" w:cs="Times New Roman"/>
          <w:color w:val="auto"/>
          <w:sz w:val="32"/>
          <w:szCs w:val="32"/>
          <w:lang w:val="en-US" w:eastAsia="zh-CN"/>
          <w14:ligatures w14:val="none"/>
        </w:rPr>
        <w:t>3</w:t>
      </w:r>
      <w:r>
        <w:rPr>
          <w:rFonts w:hint="eastAsia" w:ascii="仿宋_GB2312" w:hAnsi="黑体" w:eastAsia="仿宋_GB2312" w:cs="Times New Roman"/>
          <w:color w:val="auto"/>
          <w:sz w:val="32"/>
          <w:szCs w:val="32"/>
          <w14:ligatures w14:val="none"/>
        </w:rPr>
        <w:t>个，其中：上级转移支付项目</w:t>
      </w:r>
      <w:r>
        <w:rPr>
          <w:rFonts w:hint="eastAsia" w:ascii="仿宋_GB2312" w:hAnsi="黑体" w:eastAsia="仿宋_GB2312" w:cs="Times New Roman"/>
          <w:color w:val="auto"/>
          <w:sz w:val="32"/>
          <w:szCs w:val="32"/>
          <w:lang w:val="en-US" w:eastAsia="zh-CN"/>
          <w14:ligatures w14:val="none"/>
        </w:rPr>
        <w:t>3</w:t>
      </w:r>
      <w:r>
        <w:rPr>
          <w:rFonts w:hint="eastAsia" w:ascii="仿宋_GB2312" w:hAnsi="黑体" w:eastAsia="仿宋_GB2312" w:cs="Times New Roman"/>
          <w:color w:val="auto"/>
          <w:sz w:val="32"/>
          <w:szCs w:val="32"/>
          <w14:ligatures w14:val="none"/>
        </w:rPr>
        <w:t>个，涉及预算金额240.3</w:t>
      </w:r>
      <w:r>
        <w:rPr>
          <w:rFonts w:hint="eastAsia" w:ascii="仿宋_GB2312" w:hAnsi="黑体" w:eastAsia="仿宋_GB2312" w:cs="Times New Roman"/>
          <w:color w:val="auto"/>
          <w:sz w:val="32"/>
          <w:szCs w:val="32"/>
          <w:lang w:val="en-US" w:eastAsia="zh-CN"/>
          <w14:ligatures w14:val="none"/>
        </w:rPr>
        <w:t>0</w:t>
      </w:r>
      <w:r>
        <w:rPr>
          <w:rFonts w:hint="eastAsia" w:ascii="仿宋_GB2312" w:hAnsi="黑体" w:eastAsia="仿宋_GB2312" w:cs="Times New Roman"/>
          <w:color w:val="auto"/>
          <w:sz w:val="32"/>
          <w:szCs w:val="32"/>
          <w14:ligatures w14:val="none"/>
        </w:rPr>
        <w:t>万元；根据规定、绩效目标表完全不予公开。</w:t>
      </w:r>
      <w:bookmarkEnd w:id="0"/>
    </w:p>
    <w:p>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color w:val="auto"/>
          <w:kern w:val="0"/>
          <w:sz w:val="32"/>
          <w:szCs w:val="32"/>
        </w:rPr>
      </w:pPr>
      <w:r>
        <w:rPr>
          <w:rFonts w:hint="eastAsia" w:ascii="黑体" w:hAnsi="黑体" w:eastAsia="黑体"/>
          <w:color w:val="auto"/>
          <w:kern w:val="0"/>
          <w:sz w:val="32"/>
          <w:szCs w:val="32"/>
        </w:rPr>
        <w:t>第四部分名词解释</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一、财政拨款：</w:t>
      </w:r>
      <w:r>
        <w:rPr>
          <w:rFonts w:hint="eastAsia" w:ascii="仿宋_GB2312" w:eastAsia="仿宋_GB2312"/>
          <w:color w:val="auto"/>
          <w:sz w:val="32"/>
          <w:szCs w:val="32"/>
        </w:rPr>
        <w:t>指由一般公共预算、政府性基金预算、国有资本经营预算安排的财政拨款数。</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二、一般公共预算：</w:t>
      </w:r>
      <w:r>
        <w:rPr>
          <w:rFonts w:hint="eastAsia" w:ascii="仿宋_GB2312" w:eastAsia="仿宋_GB2312"/>
          <w:color w:val="auto"/>
          <w:sz w:val="32"/>
          <w:szCs w:val="32"/>
        </w:rPr>
        <w:t>包括公共财政拨款（补助）资金、专项收入。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三、财政专户管理资金：</w:t>
      </w:r>
      <w:r>
        <w:rPr>
          <w:rFonts w:hint="eastAsia" w:ascii="仿宋_GB2312" w:eastAsia="仿宋_GB2312"/>
          <w:color w:val="auto"/>
          <w:sz w:val="32"/>
          <w:szCs w:val="32"/>
        </w:rPr>
        <w:t>包括专户管理行政事业性收费（主要是教育收费）、其他非税收入。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四、其他资金：</w:t>
      </w:r>
      <w:r>
        <w:rPr>
          <w:rFonts w:hint="eastAsia" w:ascii="仿宋_GB2312" w:eastAsia="仿宋_GB2312"/>
          <w:color w:val="auto"/>
          <w:sz w:val="32"/>
          <w:szCs w:val="32"/>
        </w:rPr>
        <w:t>包括事业收入、事业经营收入、其他收入等。</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五、基本支出：</w:t>
      </w:r>
      <w:r>
        <w:rPr>
          <w:rFonts w:hint="eastAsia" w:ascii="仿宋_GB2312" w:eastAsia="仿宋_GB2312"/>
          <w:color w:val="auto"/>
          <w:sz w:val="32"/>
          <w:szCs w:val="32"/>
        </w:rPr>
        <w:t>包括人员经费、公用经费（定额）。其中，人员经费包括工资福利支出、对个人和家庭的补助。</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六、项目支出：</w:t>
      </w:r>
      <w:r>
        <w:rPr>
          <w:rFonts w:hint="eastAsia" w:ascii="仿宋_GB2312" w:eastAsia="仿宋_GB2312"/>
          <w:color w:val="auto"/>
          <w:sz w:val="32"/>
          <w:szCs w:val="32"/>
        </w:rPr>
        <w:t>部门（单位）支出预算的组成部分，是各部门（单位）为完成其特定的行政任务或事业发展目标，在基本支出预算之外编制的年度项目支出计划。</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七、“三公”经费：</w:t>
      </w:r>
      <w:r>
        <w:rPr>
          <w:rFonts w:hint="eastAsia" w:ascii="仿宋_GB2312" w:eastAsia="仿宋_GB2312"/>
          <w:color w:val="auto"/>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八、机关运行经费：</w:t>
      </w:r>
      <w:r>
        <w:rPr>
          <w:rFonts w:hint="eastAsia" w:ascii="仿宋_GB2312" w:eastAsia="仿宋_GB2312"/>
          <w:color w:val="auto"/>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ascii="仿宋_GB2312" w:hAnsi="宋体" w:eastAsia="仿宋_GB2312" w:cs="宋体"/>
          <w:color w:val="auto"/>
          <w:kern w:val="0"/>
          <w:sz w:val="32"/>
          <w:szCs w:val="32"/>
        </w:rPr>
      </w:pPr>
    </w:p>
    <w:p>
      <w:pPr>
        <w:widowControl/>
        <w:spacing w:line="520" w:lineRule="exact"/>
        <w:jc w:val="left"/>
        <w:rPr>
          <w:rFonts w:ascii="仿宋_GB2312" w:hAnsi="宋体" w:eastAsia="仿宋_GB2312" w:cs="宋体"/>
          <w:color w:val="auto"/>
          <w:kern w:val="0"/>
          <w:sz w:val="32"/>
          <w:szCs w:val="32"/>
        </w:rPr>
      </w:pPr>
    </w:p>
    <w:p>
      <w:pPr>
        <w:widowControl/>
        <w:spacing w:line="520" w:lineRule="exact"/>
        <w:jc w:val="left"/>
        <w:rPr>
          <w:rFonts w:ascii="仿宋_GB2312" w:hAnsi="宋体" w:eastAsia="仿宋_GB2312" w:cs="宋体"/>
          <w:color w:val="auto"/>
          <w:kern w:val="0"/>
          <w:sz w:val="32"/>
          <w:szCs w:val="32"/>
        </w:rPr>
      </w:pPr>
    </w:p>
    <w:p>
      <w:pPr>
        <w:widowControl/>
        <w:spacing w:line="520" w:lineRule="exact"/>
        <w:jc w:val="righ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托克逊县维吾尔医医院</w:t>
      </w:r>
    </w:p>
    <w:p>
      <w:pPr>
        <w:widowControl/>
        <w:spacing w:line="520" w:lineRule="exact"/>
        <w:jc w:val="right"/>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2024年02月04日</w:t>
      </w:r>
    </w:p>
    <w:p>
      <w:pPr>
        <w:rPr>
          <w:color w:val="auto"/>
        </w:rPr>
      </w:pP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63D2E"/>
    <w:rsid w:val="0013315A"/>
    <w:rsid w:val="00164922"/>
    <w:rsid w:val="001C21AB"/>
    <w:rsid w:val="00281275"/>
    <w:rsid w:val="00360E19"/>
    <w:rsid w:val="005675D9"/>
    <w:rsid w:val="00705C9A"/>
    <w:rsid w:val="00786376"/>
    <w:rsid w:val="00873A46"/>
    <w:rsid w:val="00A1419C"/>
    <w:rsid w:val="00A836C6"/>
    <w:rsid w:val="00B26843"/>
    <w:rsid w:val="00BD26F0"/>
    <w:rsid w:val="00D15F1A"/>
    <w:rsid w:val="00F60ABA"/>
    <w:rsid w:val="19C7426D"/>
    <w:rsid w:val="38513DFC"/>
    <w:rsid w:val="3DDC7F8B"/>
    <w:rsid w:val="45363589"/>
    <w:rsid w:val="4CFB1023"/>
    <w:rsid w:val="65E522CA"/>
    <w:rsid w:val="70611DF0"/>
    <w:rsid w:val="75E15D66"/>
    <w:rsid w:val="769E3242"/>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1886</Words>
  <Characters>2427</Characters>
  <Lines>135</Lines>
  <Paragraphs>38</Paragraphs>
  <TotalTime>6</TotalTime>
  <ScaleCrop>false</ScaleCrop>
  <LinksUpToDate>false</LinksUpToDate>
  <CharactersWithSpaces>2487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2025-08-12T05:06:52Z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8E04E0CA8E474B499B5021EAC6FCA262_13</vt:lpwstr>
  </property>
  <property fmtid="{D5CDD505-2E9C-101B-9397-08002B2CF9AE}" pid="4" name="KSOTemplateDocerSaveRecord">
    <vt:lpwstr>eyJoZGlkIjoiMTcwMGY5N2M4YzI3ODdkZTMzOGFhZTcwMTk4MTdlMjAiLCJ1c2VySWQiOiI0OTQ1NzM3OTEifQ==</vt:lpwstr>
  </property>
</Properties>
</file>